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3582" w:rsidRPr="00B13582" w:rsidTr="00B13582">
        <w:tc>
          <w:tcPr>
            <w:tcW w:w="4359" w:type="dxa"/>
          </w:tcPr>
          <w:p w:rsidR="00B13582" w:rsidRPr="00B13582" w:rsidRDefault="00B13582" w:rsidP="00B13582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Приложение</w:t>
            </w:r>
          </w:p>
          <w:p w:rsidR="00B13582" w:rsidRPr="00B13582" w:rsidRDefault="00B13582" w:rsidP="00B13582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3582" w:rsidRPr="00B13582" w:rsidRDefault="00B13582" w:rsidP="00B13582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к постановлению Администрации Хасынского муниципального округа Магаданской области</w:t>
            </w:r>
          </w:p>
          <w:p w:rsidR="00B13582" w:rsidRPr="00B13582" w:rsidRDefault="00B13582" w:rsidP="00B13582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от _______________ № ____</w:t>
            </w:r>
          </w:p>
        </w:tc>
      </w:tr>
    </w:tbl>
    <w:p w:rsidR="00B13582" w:rsidRDefault="00B13582" w:rsidP="00B13582">
      <w:pPr>
        <w:pStyle w:val="ConsPlusTitle"/>
        <w:widowControl/>
        <w:jc w:val="center"/>
        <w:rPr>
          <w:b w:val="0"/>
        </w:rPr>
      </w:pPr>
    </w:p>
    <w:p w:rsidR="00B13582" w:rsidRPr="00B13582" w:rsidRDefault="00B13582" w:rsidP="00B13582">
      <w:pPr>
        <w:pStyle w:val="ConsPlusTitle"/>
        <w:widowControl/>
        <w:jc w:val="center"/>
        <w:rPr>
          <w:b w:val="0"/>
        </w:rPr>
      </w:pPr>
    </w:p>
    <w:p w:rsidR="00B13582" w:rsidRPr="00B13582" w:rsidRDefault="00B13582" w:rsidP="00B13582">
      <w:pPr>
        <w:pStyle w:val="ConsPlusTitle"/>
        <w:widowControl/>
        <w:jc w:val="center"/>
        <w:rPr>
          <w:b w:val="0"/>
        </w:rPr>
      </w:pPr>
    </w:p>
    <w:p w:rsidR="00152D60" w:rsidRPr="00B13582" w:rsidRDefault="00152D60" w:rsidP="00B13582">
      <w:pPr>
        <w:pStyle w:val="ConsPlusTitle"/>
        <w:widowControl/>
        <w:jc w:val="center"/>
      </w:pPr>
      <w:r w:rsidRPr="00B13582">
        <w:t>МУНИЦИПАЛЬНАЯ ПРОГРАММА</w:t>
      </w:r>
    </w:p>
    <w:p w:rsidR="00B13582" w:rsidRDefault="00152D60" w:rsidP="00B13582">
      <w:pPr>
        <w:pStyle w:val="ConsPlusTitle"/>
        <w:widowControl/>
        <w:jc w:val="center"/>
      </w:pPr>
      <w:r w:rsidRPr="00B13582">
        <w:t xml:space="preserve">«Повышение безопасности дорожного движения на территории муниципального образования «Хасынский </w:t>
      </w:r>
      <w:r w:rsidR="00B82B7F" w:rsidRPr="00B13582">
        <w:t xml:space="preserve">муниципальный </w:t>
      </w:r>
    </w:p>
    <w:p w:rsidR="00152D60" w:rsidRPr="00B13582" w:rsidRDefault="00B82B7F" w:rsidP="00B13582">
      <w:pPr>
        <w:pStyle w:val="ConsPlusTitle"/>
        <w:widowControl/>
        <w:jc w:val="center"/>
      </w:pPr>
      <w:r w:rsidRPr="00B13582">
        <w:t>округ Магаданской области</w:t>
      </w:r>
      <w:r w:rsidR="00152D60" w:rsidRPr="00B13582">
        <w:t>»</w:t>
      </w:r>
    </w:p>
    <w:p w:rsidR="00152D60" w:rsidRPr="00B13582" w:rsidRDefault="00152D60" w:rsidP="00B135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D60" w:rsidRPr="00B13582" w:rsidRDefault="00152D60" w:rsidP="00B135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8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52D60" w:rsidRPr="00B13582" w:rsidRDefault="00152D60" w:rsidP="00B135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8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52D60" w:rsidRPr="00B13582" w:rsidRDefault="00152D60" w:rsidP="00B135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60"/>
      </w:tblGrid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муниципального образования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«Хасынский муниципальный округ Магаданской области»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87467D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>ф</w:t>
            </w:r>
            <w:r w:rsidR="00152D60"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>едеральны</w:t>
            </w:r>
            <w:r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>е</w:t>
            </w:r>
            <w:r w:rsidR="00152D60"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закон</w:t>
            </w:r>
            <w:r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>ы</w:t>
            </w:r>
            <w:r w:rsidR="00152D60"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</w:t>
            </w:r>
            <w:r w:rsidR="00152D60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="00152D60" w:rsidRPr="00B13582">
              <w:rPr>
                <w:rFonts w:ascii="Times New Roman" w:eastAsia="Batang" w:hAnsi="Times New Roman" w:cs="Times New Roman"/>
                <w:sz w:val="28"/>
                <w:szCs w:val="28"/>
              </w:rPr>
              <w:t>от 06.10.2003 № 131-ФЗ «Об общих принципах организации местного самоуправления в Российской Федерации», ст. 179 Бюджетного кодекса Российской Федерации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60" w:type="dxa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Хасынского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ет жизнеобеспечения территории А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Хасынского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ет жизнеобеспечения территории А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Хасынского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ет жизнеобеспечения территории А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Хасынского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</w:t>
            </w:r>
            <w:r w:rsidR="00B82B7F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жизни, здоровья граждан и их имущества, гарантии их законных прав на безопасные условия движения на дорогах и улицах, снижения аварийности, улучшение экологической обстановки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содержание инфраструктуры автомобильных дорог общего пользования местного значения;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снижение риска дорожно-транспортных происшествий;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дорожной сети </w:t>
            </w:r>
            <w:proofErr w:type="spellStart"/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916770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создание эффективных схем, методов и технических средств организации дорожного движения совместно с органами ГИБДД (по согласованию);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обеспечение поселений дорожными знаками, определенными дислокацией дорожных знаков;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пешеходных переходов и тротуаров на территории </w:t>
            </w:r>
            <w:proofErr w:type="spellStart"/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916770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пропаганда правил безопасного поведения на дорогах и улицах;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обеспечение пешеходных переходов, перекрестков, территорий вдоль детских садов и школ, а также жилых зон дополнительным уличным освещением</w:t>
            </w:r>
            <w:r w:rsidR="00D91A81" w:rsidRPr="00B13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1A81" w:rsidRPr="00B13582" w:rsidRDefault="00D91A81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реализация инициативных проектов, связанных с повышением безопасности дорожного движения</w:t>
            </w:r>
            <w:r w:rsidR="002F4051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софинансирования)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Программы является 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«Хасынский </w:t>
            </w:r>
            <w:r w:rsidR="00125B6E" w:rsidRPr="00B1358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Магаданской области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 w:rsidR="00726C77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мероприятий Программы </w:t>
            </w:r>
            <w:r w:rsidR="0001236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9452F" w:rsidRPr="00B135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739E1" w:rsidRPr="00B1358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1236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739E1" w:rsidRPr="00B1358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1236B">
              <w:rPr>
                <w:rFonts w:ascii="Times New Roman" w:hAnsi="Times New Roman" w:cs="Times New Roman"/>
                <w:bCs/>
                <w:sz w:val="28"/>
                <w:szCs w:val="28"/>
              </w:rPr>
              <w:t>94,0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01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25B6E" w:rsidRPr="00B13582" w:rsidRDefault="00125B6E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39E1" w:rsidRPr="00B13582">
              <w:rPr>
                <w:rFonts w:ascii="Times New Roman" w:hAnsi="Times New Roman" w:cs="Times New Roman"/>
                <w:sz w:val="28"/>
                <w:szCs w:val="28"/>
              </w:rPr>
              <w:t>9 0</w:t>
            </w:r>
            <w:r w:rsidR="000123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739E1" w:rsidRPr="00B135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25B6E" w:rsidRPr="00B13582" w:rsidRDefault="00125B6E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2024 год – 4 236,0 тыс. рублей;</w:t>
            </w:r>
          </w:p>
          <w:p w:rsidR="00152D60" w:rsidRPr="00B13582" w:rsidRDefault="00125B6E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91A81" w:rsidRPr="00B13582">
              <w:rPr>
                <w:rFonts w:ascii="Times New Roman" w:hAnsi="Times New Roman" w:cs="Times New Roman"/>
                <w:sz w:val="28"/>
                <w:szCs w:val="28"/>
              </w:rPr>
              <w:t>4 412,0</w:t>
            </w:r>
            <w:r w:rsidR="00726C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60" w:type="dxa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B6E" w:rsidRPr="00B13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B6E" w:rsidRPr="00B13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осуществление ремонтов мостовых сооружений;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круглогодичное содержание автомобильных дорог общего пользования местного значения в соответствии с нормативными требованиями к транспортно-эксплуатационным показателям и условиям безопасности дорожного движения;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</w:t>
            </w:r>
            <w:r w:rsidR="00D91A81" w:rsidRPr="00B13582">
              <w:rPr>
                <w:rFonts w:ascii="Times New Roman" w:hAnsi="Times New Roman" w:cs="Times New Roman"/>
                <w:sz w:val="28"/>
                <w:szCs w:val="28"/>
              </w:rPr>
              <w:t>улично-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дорожной сети</w:t>
            </w:r>
            <w:r w:rsidR="00D91A81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обеспечение четкого взаимодействия органов исполнительной власти с дежурными службами ГИБДД, аварийными службами и службами быстрого реагирования;</w:t>
            </w:r>
          </w:p>
          <w:p w:rsidR="00152D60" w:rsidRPr="00B13582" w:rsidRDefault="00152D60" w:rsidP="00B1358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повышение культуры поведения всех участников дорожного движения и как следствие предупреждение дорожно-транспортных происшествий;</w:t>
            </w:r>
          </w:p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вероятности возникновения ДТП за счет своевременной эвакуации поврежденных транспортных средств и ТС припаркованных в 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правил дорожного движения</w:t>
            </w:r>
            <w:r w:rsidR="00225629" w:rsidRPr="00B13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5629" w:rsidRPr="00B13582" w:rsidRDefault="00225629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- реализация инициативных проектов</w:t>
            </w:r>
            <w:r w:rsidR="00726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повышением безопасности дорожного движения</w:t>
            </w:r>
          </w:p>
        </w:tc>
      </w:tr>
      <w:tr w:rsidR="00152D60" w:rsidRPr="00B13582" w:rsidTr="00B13582">
        <w:trPr>
          <w:trHeight w:val="567"/>
          <w:jc w:val="center"/>
        </w:trPr>
        <w:tc>
          <w:tcPr>
            <w:tcW w:w="3510" w:type="dxa"/>
          </w:tcPr>
          <w:p w:rsidR="00152D60" w:rsidRPr="00B13582" w:rsidRDefault="00152D60" w:rsidP="00B135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исполнения Программы</w:t>
            </w:r>
          </w:p>
        </w:tc>
        <w:tc>
          <w:tcPr>
            <w:tcW w:w="6060" w:type="dxa"/>
            <w:vAlign w:val="center"/>
          </w:tcPr>
          <w:p w:rsidR="00152D60" w:rsidRPr="00B13582" w:rsidRDefault="00152D60" w:rsidP="00B135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мероприятий Программы осуществляется Комитет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>ом жизнеобеспечения территории А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Хасынского </w:t>
            </w:r>
            <w:r w:rsidR="00293EA4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293EA4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Магаданской области 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467D" w:rsidRPr="00B1358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постановлением А</w:t>
            </w:r>
            <w:r w:rsidRPr="00B13582">
              <w:rPr>
                <w:rFonts w:ascii="Times New Roman" w:hAnsi="Times New Roman" w:cs="Times New Roman"/>
                <w:sz w:val="28"/>
                <w:szCs w:val="28"/>
              </w:rPr>
              <w:t>дминистрации Хасынского городского округа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</w:t>
            </w:r>
          </w:p>
        </w:tc>
      </w:tr>
    </w:tbl>
    <w:p w:rsidR="00152D60" w:rsidRPr="00B13582" w:rsidRDefault="00152D60" w:rsidP="00B1358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152D60" w:rsidRPr="00B13582" w:rsidRDefault="00B13582" w:rsidP="00B1358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2D60" w:rsidRPr="00B13582">
        <w:rPr>
          <w:b/>
          <w:sz w:val="28"/>
          <w:szCs w:val="28"/>
        </w:rPr>
        <w:t>Содержание проблемы, пути ее решения и обоснование необходимости ее решения программно-целевым методом</w:t>
      </w:r>
    </w:p>
    <w:p w:rsidR="00B13582" w:rsidRPr="00726C77" w:rsidRDefault="00B13582" w:rsidP="00726C77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Проблема обеспечения безопасности дорожного движения на автомобильном транспорте в последнее десятилетие приобрела глобальный характер в связи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Дорожно-транспортные происшествия, в основном, совершаются в результате осознанного нарушения правил дорожного движения, как водителями, так и пешеходами. Свыше 70 % всех дорожно-транспортных происшествий связаны с нарушениями правил дорожного движения водителями транспортных средств – неправильный выбор скорости движения, несоблюдение дистанции, нарушение норм и правил при эксплуатации транспортных средств, в том числе в разные времена года. Наиболее многочисленной и самой уязвимой группой участников дорожного движения являются пешеходы. 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lastRenderedPageBreak/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отсутствие на отдельных участках автомобильных дорогах разметки и технических средств организации дорожного движения;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недостаточное освещение пешеходных и жилых зон;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несоответствие состояния дорожного покрытия установленным нормативам;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Таким образом, учитывая прогнозы изменения численности автомобильного парка</w:t>
      </w:r>
      <w:r w:rsidR="002F4C6A" w:rsidRPr="00B13582">
        <w:rPr>
          <w:sz w:val="28"/>
          <w:szCs w:val="28"/>
        </w:rPr>
        <w:t xml:space="preserve"> в сторону увеличения</w:t>
      </w:r>
      <w:r w:rsidRPr="00B13582">
        <w:rPr>
          <w:sz w:val="28"/>
          <w:szCs w:val="28"/>
        </w:rPr>
        <w:t>, существующие проблемы в сфере обеспечения безопасности дорожного движения на территории поселений носят системный характер и могут быть решены только при комплексном программном подходе.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 xml:space="preserve">В Хасынском </w:t>
      </w:r>
      <w:r w:rsidR="00C91D73">
        <w:rPr>
          <w:sz w:val="28"/>
          <w:szCs w:val="28"/>
        </w:rPr>
        <w:t>городском</w:t>
      </w:r>
      <w:r w:rsidR="00D44DF3" w:rsidRPr="00B13582">
        <w:rPr>
          <w:sz w:val="28"/>
          <w:szCs w:val="28"/>
        </w:rPr>
        <w:t xml:space="preserve"> округе с 2018 по 2022 год</w:t>
      </w:r>
      <w:r w:rsidRPr="00B13582">
        <w:rPr>
          <w:sz w:val="28"/>
          <w:szCs w:val="28"/>
        </w:rPr>
        <w:t xml:space="preserve"> реализация муниципальной программы «Повышение безопасности дорожного движения на территории муниципального образования «Хасынский городской округ»</w:t>
      </w:r>
      <w:r w:rsidR="00D44DF3" w:rsidRPr="00B13582">
        <w:rPr>
          <w:sz w:val="28"/>
          <w:szCs w:val="28"/>
        </w:rPr>
        <w:t xml:space="preserve"> имеет положительную динамику</w:t>
      </w:r>
      <w:r w:rsidRPr="00B13582">
        <w:rPr>
          <w:sz w:val="28"/>
          <w:szCs w:val="28"/>
        </w:rPr>
        <w:t xml:space="preserve">. В результате проведения программных мероприятий были приобретены и установлены различные дорожные знаки, установлено дополнительное уличное </w:t>
      </w:r>
      <w:r w:rsidR="00D44DF3" w:rsidRPr="00B13582">
        <w:rPr>
          <w:sz w:val="28"/>
          <w:szCs w:val="28"/>
        </w:rPr>
        <w:t>освещение</w:t>
      </w:r>
      <w:r w:rsidRPr="00B13582">
        <w:rPr>
          <w:sz w:val="28"/>
          <w:szCs w:val="28"/>
        </w:rPr>
        <w:t xml:space="preserve">, приобретены и установлены вблизи детских площадок и переходов искусственные дорожные неровности </w:t>
      </w:r>
      <w:r w:rsidR="00D44DF3" w:rsidRPr="00B13582">
        <w:rPr>
          <w:sz w:val="28"/>
          <w:szCs w:val="28"/>
        </w:rPr>
        <w:t xml:space="preserve">в населенных пунктах </w:t>
      </w:r>
      <w:r w:rsidRPr="00B13582">
        <w:rPr>
          <w:sz w:val="28"/>
          <w:szCs w:val="28"/>
        </w:rPr>
        <w:t>(«лежачие полицейские»), выполнены работы по нанесению горизонтальной дорожной разметки на пешеходных тротуарах, работы по профилированию земляного полотна, выполнены работы по асфальтированию проезд</w:t>
      </w:r>
      <w:r w:rsidR="00D44DF3" w:rsidRPr="00B13582">
        <w:rPr>
          <w:sz w:val="28"/>
          <w:szCs w:val="28"/>
        </w:rPr>
        <w:t>ов населенных пунктов</w:t>
      </w:r>
      <w:r w:rsidRPr="00B13582">
        <w:rPr>
          <w:sz w:val="28"/>
          <w:szCs w:val="28"/>
        </w:rPr>
        <w:t xml:space="preserve">. Кроме того, на постоянной основе, в рамках заключаемых с подрядчиками муниципальных контрактов, осуществляются работы по круглогодичному </w:t>
      </w:r>
      <w:r w:rsidRPr="00B13582">
        <w:rPr>
          <w:sz w:val="28"/>
          <w:szCs w:val="28"/>
        </w:rPr>
        <w:lastRenderedPageBreak/>
        <w:t xml:space="preserve">содержанию автомобильных дорог, в том числе расчистка от снега в зимний период. </w:t>
      </w:r>
      <w:r w:rsidR="00D44DF3" w:rsidRPr="00B13582">
        <w:rPr>
          <w:sz w:val="28"/>
          <w:szCs w:val="28"/>
        </w:rPr>
        <w:t>Т</w:t>
      </w:r>
      <w:r w:rsidRPr="00B13582">
        <w:rPr>
          <w:sz w:val="28"/>
          <w:szCs w:val="28"/>
        </w:rPr>
        <w:t xml:space="preserve">акже </w:t>
      </w:r>
      <w:r w:rsidR="002F4C6A" w:rsidRPr="00B13582">
        <w:rPr>
          <w:sz w:val="28"/>
          <w:szCs w:val="28"/>
        </w:rPr>
        <w:t>в</w:t>
      </w:r>
      <w:r w:rsidR="00292C11" w:rsidRPr="00B13582">
        <w:rPr>
          <w:sz w:val="28"/>
          <w:szCs w:val="28"/>
        </w:rPr>
        <w:t>ыполнен ямочный ремонт</w:t>
      </w:r>
      <w:r w:rsidR="00D44DF3" w:rsidRPr="00B13582">
        <w:rPr>
          <w:sz w:val="28"/>
          <w:szCs w:val="28"/>
        </w:rPr>
        <w:t xml:space="preserve"> на автомобильных дорогах</w:t>
      </w:r>
      <w:r w:rsidR="00292C11" w:rsidRPr="00B13582">
        <w:rPr>
          <w:sz w:val="28"/>
          <w:szCs w:val="28"/>
        </w:rPr>
        <w:t xml:space="preserve"> общего пользования местного значения</w:t>
      </w:r>
      <w:r w:rsidR="00D44DF3" w:rsidRPr="00B13582">
        <w:rPr>
          <w:sz w:val="28"/>
          <w:szCs w:val="28"/>
        </w:rPr>
        <w:t>.</w:t>
      </w:r>
      <w:r w:rsidR="00292C11" w:rsidRPr="00B13582">
        <w:rPr>
          <w:sz w:val="28"/>
          <w:szCs w:val="28"/>
        </w:rPr>
        <w:t xml:space="preserve"> </w:t>
      </w:r>
      <w:proofErr w:type="spellStart"/>
      <w:r w:rsidR="00292C11" w:rsidRPr="00B13582">
        <w:rPr>
          <w:sz w:val="28"/>
          <w:szCs w:val="28"/>
        </w:rPr>
        <w:t>Планируетсяр</w:t>
      </w:r>
      <w:r w:rsidR="00D44DF3" w:rsidRPr="00B13582">
        <w:rPr>
          <w:sz w:val="28"/>
          <w:szCs w:val="28"/>
        </w:rPr>
        <w:t>еализация</w:t>
      </w:r>
      <w:proofErr w:type="spellEnd"/>
      <w:r w:rsidR="00D44DF3" w:rsidRPr="00B13582">
        <w:rPr>
          <w:sz w:val="28"/>
          <w:szCs w:val="28"/>
        </w:rPr>
        <w:t xml:space="preserve"> инициативных проектов</w:t>
      </w:r>
      <w:r w:rsidR="00726C77">
        <w:rPr>
          <w:sz w:val="28"/>
          <w:szCs w:val="28"/>
        </w:rPr>
        <w:t>,</w:t>
      </w:r>
      <w:r w:rsidR="00D44DF3" w:rsidRPr="00B13582">
        <w:rPr>
          <w:sz w:val="28"/>
          <w:szCs w:val="28"/>
        </w:rPr>
        <w:t xml:space="preserve"> связанных с повышением безопасности дорожного движения.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По информации органов ГИБДД в период реализации муниципальной программы «Повышение безопасности дорожного движения на территории муниципального образования «Хасынский </w:t>
      </w:r>
      <w:r w:rsidR="00C91D73">
        <w:rPr>
          <w:sz w:val="28"/>
          <w:szCs w:val="28"/>
        </w:rPr>
        <w:t>городской</w:t>
      </w:r>
      <w:r w:rsidR="00D44DF3" w:rsidRPr="00B13582">
        <w:rPr>
          <w:sz w:val="28"/>
          <w:szCs w:val="28"/>
        </w:rPr>
        <w:t xml:space="preserve"> округ </w:t>
      </w:r>
      <w:r w:rsidRPr="00B13582">
        <w:rPr>
          <w:sz w:val="28"/>
          <w:szCs w:val="28"/>
        </w:rPr>
        <w:t xml:space="preserve">количество дорожно-транспортных происшествий (ДТП) в границах населенных пунктов Хасынского </w:t>
      </w:r>
      <w:r w:rsidR="00C91D73">
        <w:rPr>
          <w:sz w:val="28"/>
          <w:szCs w:val="28"/>
        </w:rPr>
        <w:t>городского</w:t>
      </w:r>
      <w:r w:rsidR="008642D9" w:rsidRPr="00B13582">
        <w:rPr>
          <w:sz w:val="28"/>
          <w:szCs w:val="28"/>
        </w:rPr>
        <w:t xml:space="preserve"> округа </w:t>
      </w:r>
      <w:r w:rsidRPr="00B13582">
        <w:rPr>
          <w:sz w:val="28"/>
          <w:szCs w:val="28"/>
        </w:rPr>
        <w:t xml:space="preserve">постепенно снижается. </w:t>
      </w:r>
      <w:r w:rsidR="00921081" w:rsidRPr="00B13582">
        <w:rPr>
          <w:sz w:val="28"/>
          <w:szCs w:val="28"/>
        </w:rPr>
        <w:t>Р</w:t>
      </w:r>
      <w:r w:rsidRPr="00B13582">
        <w:rPr>
          <w:sz w:val="28"/>
          <w:szCs w:val="28"/>
        </w:rPr>
        <w:t xml:space="preserve">еализация мероприятий Программы способствует достижению поставленных задач по обеспечению безопасности дорожного движения на дорогах общего пользования местного значения, снижению риска дорожно-транспортных происшествий, по содержанию и благоустройству дорожной сети поселений </w:t>
      </w:r>
      <w:r w:rsidR="00916770" w:rsidRPr="00B13582">
        <w:rPr>
          <w:sz w:val="28"/>
          <w:szCs w:val="28"/>
        </w:rPr>
        <w:t>муниципальн</w:t>
      </w:r>
      <w:r w:rsidRPr="00B13582">
        <w:rPr>
          <w:sz w:val="28"/>
          <w:szCs w:val="28"/>
        </w:rPr>
        <w:t>о</w:t>
      </w:r>
      <w:r w:rsidR="00916770" w:rsidRPr="00B13582">
        <w:rPr>
          <w:sz w:val="28"/>
          <w:szCs w:val="28"/>
        </w:rPr>
        <w:t>го</w:t>
      </w:r>
      <w:r w:rsidRPr="00B13582">
        <w:rPr>
          <w:sz w:val="28"/>
          <w:szCs w:val="28"/>
        </w:rPr>
        <w:t xml:space="preserve"> округа, обеспечению дорожными знаками и обустройству пешеходных тротуаров и переходов.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13582">
        <w:rPr>
          <w:sz w:val="28"/>
          <w:szCs w:val="28"/>
        </w:rPr>
        <w:t xml:space="preserve">Однако, состояние отдельных участков автомобильных дорог общего пользования местного значения в Хасынском </w:t>
      </w:r>
      <w:r w:rsidR="00D778D2" w:rsidRPr="00B13582">
        <w:rPr>
          <w:sz w:val="28"/>
          <w:szCs w:val="28"/>
        </w:rPr>
        <w:t>муниципальном округе Магаданской области</w:t>
      </w:r>
      <w:r w:rsidR="00292C11" w:rsidRPr="00B13582">
        <w:rPr>
          <w:sz w:val="28"/>
          <w:szCs w:val="28"/>
        </w:rPr>
        <w:t>,</w:t>
      </w:r>
      <w:r w:rsidRPr="00B13582">
        <w:rPr>
          <w:sz w:val="28"/>
          <w:szCs w:val="28"/>
        </w:rPr>
        <w:t xml:space="preserve"> не</w:t>
      </w:r>
      <w:r w:rsidR="00C91D73">
        <w:rPr>
          <w:sz w:val="28"/>
          <w:szCs w:val="28"/>
        </w:rPr>
        <w:t xml:space="preserve"> в</w:t>
      </w:r>
      <w:r w:rsidRPr="00B13582">
        <w:rPr>
          <w:sz w:val="28"/>
          <w:szCs w:val="28"/>
        </w:rPr>
        <w:t xml:space="preserve"> полной мере соответствует установленным требованиям. </w:t>
      </w:r>
      <w:r w:rsidRPr="00B13582">
        <w:rPr>
          <w:rFonts w:eastAsia="Times New Roman"/>
          <w:sz w:val="28"/>
          <w:szCs w:val="28"/>
        </w:rPr>
        <w:t xml:space="preserve">Для проведения оценки состояния автомобильных дорог на территории Хасынского </w:t>
      </w:r>
      <w:r w:rsidR="00D778D2" w:rsidRPr="00B13582">
        <w:rPr>
          <w:rFonts w:eastAsia="Times New Roman"/>
          <w:sz w:val="28"/>
          <w:szCs w:val="28"/>
        </w:rPr>
        <w:t>муниципального округа Магаданской области</w:t>
      </w:r>
      <w:r w:rsidRPr="00B13582">
        <w:rPr>
          <w:rFonts w:eastAsia="Times New Roman"/>
          <w:sz w:val="28"/>
          <w:szCs w:val="28"/>
        </w:rPr>
        <w:t xml:space="preserve"> в рамках настоящей муниципальной программы предлагается проведение работ по диагностике (обследованию,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потоков) в соответствии с Приказом Минтранса России от </w:t>
      </w:r>
      <w:r w:rsidR="00D778D2" w:rsidRPr="00B13582">
        <w:rPr>
          <w:rFonts w:eastAsia="Times New Roman"/>
          <w:sz w:val="28"/>
          <w:szCs w:val="28"/>
        </w:rPr>
        <w:t>07.08.2020 № 288</w:t>
      </w:r>
      <w:r w:rsidRPr="00B13582">
        <w:rPr>
          <w:rFonts w:eastAsia="Times New Roman"/>
          <w:sz w:val="28"/>
          <w:szCs w:val="28"/>
        </w:rPr>
        <w:t xml:space="preserve"> «О порядке проведения оценки технического состояния автомобильных дорог».</w:t>
      </w:r>
    </w:p>
    <w:p w:rsidR="00152D60" w:rsidRPr="00B13582" w:rsidRDefault="00152D60" w:rsidP="00B135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582">
        <w:rPr>
          <w:color w:val="000000"/>
          <w:sz w:val="28"/>
          <w:szCs w:val="28"/>
        </w:rPr>
        <w:t xml:space="preserve">Кроме того, для формирования общественного мнения об обязательности соблюдения установленных правил обеспечения безопасности дорожного движения необходимо, чтобы средства массовой </w:t>
      </w:r>
      <w:r w:rsidRPr="00B13582">
        <w:rPr>
          <w:color w:val="000000"/>
          <w:sz w:val="28"/>
          <w:szCs w:val="28"/>
        </w:rPr>
        <w:lastRenderedPageBreak/>
        <w:t>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152D60" w:rsidRPr="00B13582" w:rsidRDefault="00152D60" w:rsidP="00B135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582">
        <w:rPr>
          <w:color w:val="000000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13582">
        <w:rPr>
          <w:rFonts w:eastAsia="Times New Roman"/>
          <w:sz w:val="28"/>
          <w:szCs w:val="28"/>
        </w:rPr>
        <w:t xml:space="preserve">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с использованием программно-целевого метода. Эффективное продолжение решения существующих проблем возможно только в условиях пролонгации применения в качестве основы управления в области обеспечения безопасности дорожного движения программно-целевого метода посредством принятия и последующей реализации Программы, поскольку это позволит: 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13582">
        <w:rPr>
          <w:rFonts w:eastAsia="Times New Roman"/>
          <w:sz w:val="28"/>
          <w:szCs w:val="28"/>
        </w:rPr>
        <w:t xml:space="preserve">- установить единые цели и задачи деятельности по повышению безопасности дорожного движения; 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13582">
        <w:rPr>
          <w:rFonts w:eastAsia="Times New Roman"/>
          <w:sz w:val="28"/>
          <w:szCs w:val="28"/>
        </w:rPr>
        <w:t xml:space="preserve">- сформировать систему приоритетных мероприятий по повышению безопасности дорожного движения, обоснованно и системно воздействующих на причины аварийности; 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13582">
        <w:rPr>
          <w:rFonts w:eastAsia="Times New Roman"/>
          <w:sz w:val="28"/>
          <w:szCs w:val="28"/>
        </w:rPr>
        <w:t xml:space="preserve">- концентрировать ресурсы на реализации мероприятий, соответствующих приоритетным целям и задачам в сфере обеспечения безопасности дорожного движения; </w:t>
      </w:r>
    </w:p>
    <w:p w:rsidR="00152D60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13582">
        <w:rPr>
          <w:rFonts w:eastAsia="Times New Roman"/>
          <w:sz w:val="28"/>
          <w:szCs w:val="28"/>
        </w:rPr>
        <w:t>- применять принципы бюджетного планирования, ориентированного на результат.</w:t>
      </w:r>
    </w:p>
    <w:p w:rsidR="00C91D73" w:rsidRPr="00B13582" w:rsidRDefault="00C91D73" w:rsidP="00B1358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13582">
        <w:rPr>
          <w:b/>
          <w:sz w:val="28"/>
          <w:szCs w:val="28"/>
        </w:rPr>
        <w:lastRenderedPageBreak/>
        <w:t>2. Основные цели, задачи Программы и сроки ее реализации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Основными целями Программы являются: снижение негативных последствий автомобилизации, обеспечение охраны жизни, здоровья граждан и их имущества, гарантии их законных прав на безопасные условия движения на дорогах и улицах, снижение аварийности и улучшение экологической ситуации.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Для достижения указанных целей необходимо решить следующие основные задачи по: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повышению безопасности дорожного движения;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пропаганде правил безопасного поведения на дорогах и улицах;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содержанию инфраструктуры автомобильных дорог общего пользования местного значения в соответствии с действующими нормами и правилами;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снижению риска дорожно-транспортных происшествий;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благоустройству дорожных сетей поселений округа;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созданию эффективных схем, методов и технических средств организации дорожного движения, в том числе по установке новых, замене и модернизации дорожных знаков, не соответствующих действующим стандартам, обустройству пешеходных переходов и тротуаров, а также искусственных дорожных неровностей в местах повышенной опасности для пешеходов, в том числе с нанесением горизонтальной дорожной разметки;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установке дополнительного уличного освещения на пешеходных переходах, перекрестках, вдоль территорий детс</w:t>
      </w:r>
      <w:r w:rsidR="004856D5" w:rsidRPr="00B13582">
        <w:rPr>
          <w:sz w:val="28"/>
          <w:szCs w:val="28"/>
        </w:rPr>
        <w:t>ких садов и школ, в жилых зонах;</w:t>
      </w:r>
    </w:p>
    <w:p w:rsidR="004856D5" w:rsidRPr="00B13582" w:rsidRDefault="004856D5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реализовывать инициативные проекты, связанные с повышением безопасности дорожного движения</w:t>
      </w:r>
    </w:p>
    <w:p w:rsidR="00152D60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Реализацию мероприятий Программы намечено осуществ</w:t>
      </w:r>
      <w:r w:rsidR="00D778D2" w:rsidRPr="00B13582">
        <w:rPr>
          <w:sz w:val="28"/>
          <w:szCs w:val="28"/>
        </w:rPr>
        <w:t xml:space="preserve">лять </w:t>
      </w:r>
      <w:r w:rsidRPr="00B13582">
        <w:rPr>
          <w:sz w:val="28"/>
          <w:szCs w:val="28"/>
        </w:rPr>
        <w:t>с 20</w:t>
      </w:r>
      <w:r w:rsidR="00D778D2" w:rsidRPr="00B13582">
        <w:rPr>
          <w:sz w:val="28"/>
          <w:szCs w:val="28"/>
        </w:rPr>
        <w:t>23 года</w:t>
      </w:r>
      <w:r w:rsidRPr="00B13582">
        <w:rPr>
          <w:sz w:val="28"/>
          <w:szCs w:val="28"/>
        </w:rPr>
        <w:t>.</w:t>
      </w:r>
    </w:p>
    <w:p w:rsidR="00C91D73" w:rsidRPr="00B13582" w:rsidRDefault="00C91D73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2D60" w:rsidRDefault="00152D60" w:rsidP="00B135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3582">
        <w:rPr>
          <w:b/>
          <w:sz w:val="28"/>
          <w:szCs w:val="28"/>
        </w:rPr>
        <w:lastRenderedPageBreak/>
        <w:t>3. Система целевых индикаторов и ожидаемый социально-экономический эффект от реализации Программы</w:t>
      </w:r>
    </w:p>
    <w:p w:rsidR="00B13582" w:rsidRPr="00B13582" w:rsidRDefault="00B13582" w:rsidP="00B135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Программа направлена в первую очередь на сокращение дорожно-транспортных происшествий, в том числе с участием пешеходов за счет качественного улучшения условий для всех участников дорожного движения.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В результате реализации программных мероприятий планируется: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повысить общую безопасность дорожного движения;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обеспечить четкое взаимодействие органов исполнительной власти с дежурными службами ГИБДД, аварийными службами и службами быстрого реагирования;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провести мероприятия, пропагандирующие правила безопасного поведения на дорогах и улицах;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содержать и благоустраивать инфраструктуру автомобильных дорог общего пользования местного значения в соответствии с действующими нормами и правилами;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оборудовать аварийно-опасные участки улично-дорожной сети искусственными неровностями с установкой дорожных знаков и нанесением горизонтальной дорожной разметки;</w:t>
      </w:r>
    </w:p>
    <w:p w:rsidR="00152D60" w:rsidRPr="00B13582" w:rsidRDefault="00152D60" w:rsidP="00B1358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582">
        <w:rPr>
          <w:rFonts w:ascii="Times New Roman" w:hAnsi="Times New Roman" w:cs="Times New Roman"/>
          <w:sz w:val="28"/>
          <w:szCs w:val="28"/>
        </w:rPr>
        <w:t>- обустроить тротуары, пешеходные переходы на территории поселений округа;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установить дополнительное уличное освещение на пешеходных переходах, перекрестках, вдоль территорий детских садов и школ, жилых зон.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Перечень целевых индикаторов </w:t>
      </w:r>
      <w:r w:rsidR="00A1420F" w:rsidRPr="00B13582">
        <w:rPr>
          <w:sz w:val="28"/>
          <w:szCs w:val="28"/>
        </w:rPr>
        <w:t>муниципальной п</w:t>
      </w:r>
      <w:r w:rsidRPr="00B13582">
        <w:rPr>
          <w:sz w:val="28"/>
          <w:szCs w:val="28"/>
        </w:rPr>
        <w:t>рограммы</w:t>
      </w:r>
      <w:r w:rsidR="00A1420F" w:rsidRPr="00B13582">
        <w:rPr>
          <w:sz w:val="28"/>
          <w:szCs w:val="28"/>
        </w:rPr>
        <w:t xml:space="preserve"> «Повышение безопасности дорожного движения на территории муниципального образования «Хасынский </w:t>
      </w:r>
      <w:r w:rsidR="004856D5" w:rsidRPr="00B13582">
        <w:rPr>
          <w:sz w:val="28"/>
          <w:szCs w:val="28"/>
        </w:rPr>
        <w:t>муниципальный округ Магаданской области</w:t>
      </w:r>
      <w:r w:rsidR="00A1420F" w:rsidRPr="00B13582">
        <w:rPr>
          <w:sz w:val="28"/>
          <w:szCs w:val="28"/>
        </w:rPr>
        <w:t>»,</w:t>
      </w:r>
      <w:r w:rsidRPr="00B13582">
        <w:rPr>
          <w:sz w:val="28"/>
          <w:szCs w:val="28"/>
        </w:rPr>
        <w:t xml:space="preserve"> приведен в приложении № 1 к Программе.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13582">
        <w:rPr>
          <w:b/>
          <w:sz w:val="28"/>
          <w:szCs w:val="28"/>
        </w:rPr>
        <w:lastRenderedPageBreak/>
        <w:t>4. Сведения о заказчике и исполнителях Программы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Общее управление Программой осуществляет заказчик - Администрация Хасынского </w:t>
      </w:r>
      <w:r w:rsidR="004856D5" w:rsidRPr="00B13582">
        <w:rPr>
          <w:sz w:val="28"/>
          <w:szCs w:val="28"/>
        </w:rPr>
        <w:t>муниципального округа Магаданской области</w:t>
      </w:r>
      <w:r w:rsidRPr="00B13582">
        <w:rPr>
          <w:sz w:val="28"/>
          <w:szCs w:val="28"/>
        </w:rPr>
        <w:t>.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Реализацию мероприятий Программы обеспечивают исполнители: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- Комитет жизнеобеспечения территории </w:t>
      </w:r>
      <w:r w:rsidR="00C141CB" w:rsidRPr="00B13582">
        <w:rPr>
          <w:sz w:val="28"/>
          <w:szCs w:val="28"/>
        </w:rPr>
        <w:t>А</w:t>
      </w:r>
      <w:r w:rsidRPr="00B13582">
        <w:rPr>
          <w:sz w:val="28"/>
          <w:szCs w:val="28"/>
        </w:rPr>
        <w:t xml:space="preserve">дминистрации Хасынского </w:t>
      </w:r>
      <w:r w:rsidR="004856D5" w:rsidRPr="00B13582">
        <w:rPr>
          <w:sz w:val="28"/>
          <w:szCs w:val="28"/>
        </w:rPr>
        <w:t>муниципального округа Магаданской области;</w:t>
      </w:r>
    </w:p>
    <w:p w:rsidR="00152D60" w:rsidRPr="00B13582" w:rsidRDefault="00152D60" w:rsidP="00B13582">
      <w:pPr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- МКУ «Управление по обеспечению деятельности органов местного самоуправления Хасынского </w:t>
      </w:r>
      <w:r w:rsidR="004856D5" w:rsidRPr="00B13582">
        <w:rPr>
          <w:sz w:val="28"/>
          <w:szCs w:val="28"/>
        </w:rPr>
        <w:t>муниципального округа Магаданской области</w:t>
      </w:r>
      <w:r w:rsidRPr="00B13582">
        <w:rPr>
          <w:sz w:val="28"/>
          <w:szCs w:val="28"/>
        </w:rPr>
        <w:t>».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Непосредственное исполнение программных мероприятий осуществляется физическими и юридическими лицами</w:t>
      </w:r>
      <w:r w:rsidR="004856D5" w:rsidRPr="00B13582">
        <w:rPr>
          <w:sz w:val="28"/>
          <w:szCs w:val="28"/>
        </w:rPr>
        <w:t>, индивидуальными предпринимателями</w:t>
      </w:r>
      <w:r w:rsidRPr="00B13582">
        <w:rPr>
          <w:sz w:val="28"/>
          <w:szCs w:val="28"/>
        </w:rPr>
        <w:t xml:space="preserve"> на основании заключенных муниципальных контрактов. 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13582">
        <w:rPr>
          <w:sz w:val="28"/>
          <w:szCs w:val="28"/>
        </w:rPr>
        <w:t xml:space="preserve">5. </w:t>
      </w:r>
      <w:r w:rsidRPr="00B13582">
        <w:rPr>
          <w:b/>
          <w:sz w:val="28"/>
          <w:szCs w:val="28"/>
        </w:rPr>
        <w:t>Механизм реализации Программы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Механизм реализации Программы определяет комплекс мер, осуществляемых исполнителями Программы в целях эффективности реализации отдельных мероприятий и достижения планируемых результатов в рамках выделяемых финансовых ресурсов. 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В рамках Программы должно быть обеспечено ежегодное формирование и корректировка плана расходов для уточнения основных показателей Программы с учетом корректировки прогноза расходов.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Реализация Программы предусматривает целевое использование средств, в соответствии с поставленными целями и задачами, утвержденным перечнем мероприятий, регулярное проведение мониторинга достигаемых результатов и оценки эффективности реализации Программы. 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Ответственный исполнитель – Комит</w:t>
      </w:r>
      <w:r w:rsidR="00C91D73">
        <w:rPr>
          <w:sz w:val="28"/>
          <w:szCs w:val="28"/>
        </w:rPr>
        <w:t>ет жизнеобеспечения территории А</w:t>
      </w:r>
      <w:r w:rsidRPr="00B13582">
        <w:rPr>
          <w:sz w:val="28"/>
          <w:szCs w:val="28"/>
        </w:rPr>
        <w:t xml:space="preserve">дминистрации Хасынского </w:t>
      </w:r>
      <w:r w:rsidR="004856D5" w:rsidRPr="00B13582">
        <w:rPr>
          <w:sz w:val="28"/>
          <w:szCs w:val="28"/>
        </w:rPr>
        <w:t>муниципального округа Магаданской области</w:t>
      </w:r>
      <w:r w:rsidRPr="00B13582">
        <w:rPr>
          <w:sz w:val="28"/>
          <w:szCs w:val="28"/>
        </w:rPr>
        <w:t xml:space="preserve"> осуществляет: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координацию деятельности по выполнению мероприятий Программы;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нормативно-правовое и методическое обеспечение Программы;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подготовку предложений по составлению плана инвестиционных и текущих расходов на очередной временной период;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lastRenderedPageBreak/>
        <w:t>- уточнение и корректировку Программы по перечню мероприятий, источникам и объемам их финансирования, а также предлагаемых к реализации задач Программы;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контроль за целевым и эффективным использованием бюджетных средств;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мониторинг выполнения показателей Программы;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оценку эффективности реализации мероприятий Программы;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обеспечение согласованности действий по реализации программных мероприятий;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сбор оперативной информации, подготовку и представление оперативных отчетов;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заключение муниципальных контрактов с физическими и юридическими лицами,</w:t>
      </w:r>
      <w:r w:rsidR="004856D5" w:rsidRPr="00B13582">
        <w:rPr>
          <w:sz w:val="28"/>
          <w:szCs w:val="28"/>
        </w:rPr>
        <w:t xml:space="preserve"> индивидуальными предпринимателями,</w:t>
      </w:r>
      <w:r w:rsidRPr="00B13582">
        <w:rPr>
          <w:sz w:val="28"/>
          <w:szCs w:val="28"/>
        </w:rPr>
        <w:t xml:space="preserve"> определяемыми в соответствии с Федеральным законом от 05</w:t>
      </w:r>
      <w:r w:rsidR="00A1420F" w:rsidRPr="00B13582">
        <w:rPr>
          <w:sz w:val="28"/>
          <w:szCs w:val="28"/>
        </w:rPr>
        <w:t>.04.</w:t>
      </w:r>
      <w:r w:rsidRPr="00B13582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- контроль за качеством проводимых работ и применяемых материалов.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>Внесение изменений в Программу или прекращение ее действия осуществляется ответственным исполнителем и оформляется муниципальным правовым актом.</w:t>
      </w:r>
    </w:p>
    <w:p w:rsidR="00152D60" w:rsidRPr="00B13582" w:rsidRDefault="00152D60" w:rsidP="00726C77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13582">
        <w:rPr>
          <w:b/>
          <w:sz w:val="28"/>
          <w:szCs w:val="28"/>
        </w:rPr>
        <w:t>6. Ресурсное обеспечение Программы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Финансирование программных мероприятий осуществляется за счет средств бюджета муниципального образования «Хасынский </w:t>
      </w:r>
      <w:r w:rsidR="004856D5" w:rsidRPr="00B13582">
        <w:rPr>
          <w:sz w:val="28"/>
          <w:szCs w:val="28"/>
        </w:rPr>
        <w:t>муниципальный округ Магаданской области</w:t>
      </w:r>
      <w:r w:rsidRPr="00B13582">
        <w:rPr>
          <w:sz w:val="28"/>
          <w:szCs w:val="28"/>
        </w:rPr>
        <w:t>».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3582">
        <w:rPr>
          <w:sz w:val="28"/>
          <w:szCs w:val="28"/>
        </w:rPr>
        <w:t xml:space="preserve">Объемы финансирования мероприятий </w:t>
      </w:r>
      <w:r w:rsidR="00D4651D" w:rsidRPr="00B13582">
        <w:rPr>
          <w:sz w:val="28"/>
          <w:szCs w:val="28"/>
        </w:rPr>
        <w:t>муниципальной п</w:t>
      </w:r>
      <w:r w:rsidRPr="00B13582">
        <w:rPr>
          <w:sz w:val="28"/>
          <w:szCs w:val="28"/>
        </w:rPr>
        <w:t>рограммы</w:t>
      </w:r>
      <w:r w:rsidR="00D4651D" w:rsidRPr="00B13582">
        <w:rPr>
          <w:sz w:val="28"/>
          <w:szCs w:val="28"/>
        </w:rPr>
        <w:t xml:space="preserve"> «Повышение безопасности дорожного движения на территории муниципального образования «Хасынский </w:t>
      </w:r>
      <w:r w:rsidR="003A2EBA" w:rsidRPr="00B13582">
        <w:rPr>
          <w:sz w:val="28"/>
          <w:szCs w:val="28"/>
        </w:rPr>
        <w:t>муниципальный округ Магаданской области</w:t>
      </w:r>
      <w:r w:rsidR="00D4651D" w:rsidRPr="00B13582">
        <w:rPr>
          <w:sz w:val="28"/>
          <w:szCs w:val="28"/>
        </w:rPr>
        <w:t>,</w:t>
      </w:r>
      <w:r w:rsidRPr="00B13582">
        <w:rPr>
          <w:sz w:val="28"/>
          <w:szCs w:val="28"/>
        </w:rPr>
        <w:t xml:space="preserve"> приведены в приложении № 2 к Программе.</w:t>
      </w: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A1420F" w:rsidRPr="00B13582" w:rsidRDefault="00DE1445" w:rsidP="00B13582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____________</w:t>
      </w:r>
    </w:p>
    <w:tbl>
      <w:tblPr>
        <w:tblStyle w:val="a5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359"/>
        <w:gridCol w:w="177"/>
      </w:tblGrid>
      <w:tr w:rsidR="00D4651D" w:rsidRPr="00B13582" w:rsidTr="00B13582">
        <w:tc>
          <w:tcPr>
            <w:tcW w:w="4677" w:type="dxa"/>
            <w:gridSpan w:val="3"/>
          </w:tcPr>
          <w:p w:rsidR="00D4651D" w:rsidRPr="00B13582" w:rsidRDefault="00D4651D" w:rsidP="00B13582">
            <w:pPr>
              <w:tabs>
                <w:tab w:val="left" w:pos="5670"/>
              </w:tabs>
              <w:jc w:val="right"/>
              <w:rPr>
                <w:rFonts w:eastAsia="Batang"/>
                <w:sz w:val="28"/>
                <w:szCs w:val="28"/>
              </w:rPr>
            </w:pPr>
          </w:p>
        </w:tc>
      </w:tr>
      <w:tr w:rsidR="00B13582" w:rsidTr="00B1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177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13582" w:rsidRPr="00B13582" w:rsidRDefault="00B13582" w:rsidP="00B13582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Приложение № 1</w:t>
            </w:r>
          </w:p>
          <w:p w:rsidR="00B13582" w:rsidRPr="00B13582" w:rsidRDefault="00B13582" w:rsidP="00B13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82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B13582" w:rsidRDefault="00B13582" w:rsidP="00B13582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B13582">
              <w:t>«</w:t>
            </w:r>
            <w:r w:rsidRPr="00B13582">
              <w:rPr>
                <w:rFonts w:eastAsia="Batang"/>
              </w:rPr>
              <w:t>Повышение безопасности дорожного движения на территории муниципального образования «Хасынский муниципальный округ Магаданской области</w:t>
            </w:r>
            <w:r w:rsidRPr="00B13582">
              <w:t>»</w:t>
            </w:r>
          </w:p>
        </w:tc>
      </w:tr>
    </w:tbl>
    <w:p w:rsidR="000F3703" w:rsidRDefault="000F3703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B13582" w:rsidRPr="00B13582" w:rsidRDefault="00B13582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B13582" w:rsidRDefault="00152D60" w:rsidP="00B1358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ПЕРЕЧЕНЬ</w:t>
      </w:r>
    </w:p>
    <w:p w:rsidR="006435F0" w:rsidRDefault="00152D60" w:rsidP="00B1358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целевых индикаторов муниципальной программы «Повышение безопасности дорожного движения на территории муниципального образования «Хасынский </w:t>
      </w:r>
      <w:r w:rsidR="003A2EBA" w:rsidRPr="00B13582">
        <w:rPr>
          <w:rFonts w:eastAsia="Batang"/>
          <w:b/>
          <w:sz w:val="28"/>
          <w:szCs w:val="28"/>
        </w:rPr>
        <w:t xml:space="preserve">муниципальный округ </w:t>
      </w:r>
    </w:p>
    <w:p w:rsidR="00152D60" w:rsidRDefault="003A2EBA" w:rsidP="00B1358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Магаданской области</w:t>
      </w:r>
      <w:r w:rsidR="00152D60" w:rsidRPr="00B13582">
        <w:rPr>
          <w:rFonts w:eastAsia="Batang"/>
          <w:b/>
          <w:sz w:val="28"/>
          <w:szCs w:val="28"/>
        </w:rPr>
        <w:t>»</w:t>
      </w:r>
    </w:p>
    <w:p w:rsidR="00B13582" w:rsidRPr="00B13582" w:rsidRDefault="00B13582" w:rsidP="00B13582">
      <w:pPr>
        <w:tabs>
          <w:tab w:val="left" w:pos="5670"/>
        </w:tabs>
        <w:jc w:val="center"/>
        <w:rPr>
          <w:rFonts w:eastAsia="Batang"/>
          <w:sz w:val="20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567"/>
        <w:gridCol w:w="1134"/>
        <w:gridCol w:w="851"/>
        <w:gridCol w:w="850"/>
        <w:gridCol w:w="851"/>
      </w:tblGrid>
      <w:tr w:rsidR="00152D60" w:rsidRPr="00B13582" w:rsidTr="00B13582">
        <w:trPr>
          <w:trHeight w:val="300"/>
        </w:trPr>
        <w:tc>
          <w:tcPr>
            <w:tcW w:w="567" w:type="dxa"/>
            <w:vMerge w:val="restart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№ п/п</w:t>
            </w:r>
          </w:p>
        </w:tc>
        <w:tc>
          <w:tcPr>
            <w:tcW w:w="4252" w:type="dxa"/>
            <w:vMerge w:val="restart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 xml:space="preserve">Общее </w:t>
            </w:r>
            <w:proofErr w:type="spellStart"/>
            <w:proofErr w:type="gramStart"/>
            <w:r w:rsidRPr="00B13582">
              <w:rPr>
                <w:rFonts w:eastAsia="Batang"/>
                <w:b/>
              </w:rPr>
              <w:t>значе</w:t>
            </w:r>
            <w:proofErr w:type="spellEnd"/>
            <w:r w:rsidR="00D4651D" w:rsidRPr="00B13582">
              <w:rPr>
                <w:rFonts w:eastAsia="Batang"/>
                <w:b/>
              </w:rPr>
              <w:t>-</w:t>
            </w:r>
            <w:r w:rsidRPr="00B13582">
              <w:rPr>
                <w:rFonts w:eastAsia="Batang"/>
                <w:b/>
              </w:rPr>
              <w:t>ние</w:t>
            </w:r>
            <w:proofErr w:type="gramEnd"/>
            <w:r w:rsidRPr="00B13582">
              <w:rPr>
                <w:rFonts w:eastAsia="Batang"/>
                <w:b/>
              </w:rPr>
              <w:t xml:space="preserve"> показа</w:t>
            </w:r>
            <w:r w:rsidR="00DE1445" w:rsidRPr="00B13582">
              <w:rPr>
                <w:rFonts w:eastAsia="Batang"/>
                <w:b/>
              </w:rPr>
              <w:t>-</w:t>
            </w:r>
            <w:r w:rsidRPr="00B13582">
              <w:rPr>
                <w:rFonts w:eastAsia="Batang"/>
                <w:b/>
              </w:rPr>
              <w:t>теля</w:t>
            </w:r>
          </w:p>
        </w:tc>
        <w:tc>
          <w:tcPr>
            <w:tcW w:w="2552" w:type="dxa"/>
            <w:gridSpan w:val="3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В том числе по годам:</w:t>
            </w:r>
          </w:p>
        </w:tc>
      </w:tr>
      <w:tr w:rsidR="00152D60" w:rsidRPr="00B13582" w:rsidTr="00B13582">
        <w:trPr>
          <w:trHeight w:val="300"/>
        </w:trPr>
        <w:tc>
          <w:tcPr>
            <w:tcW w:w="567" w:type="dxa"/>
            <w:vMerge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4252" w:type="dxa"/>
            <w:vMerge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567" w:type="dxa"/>
            <w:vMerge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  <w:vMerge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851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</w:t>
            </w:r>
            <w:r w:rsidR="003A2EBA" w:rsidRPr="00B13582">
              <w:rPr>
                <w:rFonts w:eastAsia="Batang"/>
                <w:b/>
              </w:rPr>
              <w:t>23</w:t>
            </w:r>
          </w:p>
        </w:tc>
        <w:tc>
          <w:tcPr>
            <w:tcW w:w="850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</w:t>
            </w:r>
            <w:r w:rsidR="003A2EBA" w:rsidRPr="00B13582">
              <w:rPr>
                <w:rFonts w:eastAsia="Batang"/>
                <w:b/>
              </w:rPr>
              <w:t>24</w:t>
            </w:r>
          </w:p>
        </w:tc>
        <w:tc>
          <w:tcPr>
            <w:tcW w:w="851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</w:t>
            </w:r>
            <w:r w:rsidR="003A2EBA" w:rsidRPr="00B13582">
              <w:rPr>
                <w:rFonts w:eastAsia="Batang"/>
                <w:b/>
              </w:rPr>
              <w:t>5</w:t>
            </w:r>
          </w:p>
        </w:tc>
      </w:tr>
      <w:tr w:rsidR="00152D60" w:rsidRPr="00B13582" w:rsidTr="00B13582">
        <w:tc>
          <w:tcPr>
            <w:tcW w:w="567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1</w:t>
            </w:r>
          </w:p>
        </w:tc>
        <w:tc>
          <w:tcPr>
            <w:tcW w:w="4252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</w:t>
            </w:r>
          </w:p>
        </w:tc>
        <w:tc>
          <w:tcPr>
            <w:tcW w:w="567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3</w:t>
            </w:r>
          </w:p>
        </w:tc>
        <w:tc>
          <w:tcPr>
            <w:tcW w:w="1134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4</w:t>
            </w:r>
          </w:p>
        </w:tc>
        <w:tc>
          <w:tcPr>
            <w:tcW w:w="851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5</w:t>
            </w:r>
          </w:p>
        </w:tc>
        <w:tc>
          <w:tcPr>
            <w:tcW w:w="850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6</w:t>
            </w:r>
          </w:p>
        </w:tc>
        <w:tc>
          <w:tcPr>
            <w:tcW w:w="851" w:type="dxa"/>
          </w:tcPr>
          <w:p w:rsidR="00152D60" w:rsidRPr="00B13582" w:rsidRDefault="00152D60" w:rsidP="00B1358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7</w:t>
            </w:r>
          </w:p>
        </w:tc>
      </w:tr>
      <w:tr w:rsidR="007C4E76" w:rsidRPr="00B13582" w:rsidTr="00B13582"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1.</w:t>
            </w:r>
          </w:p>
        </w:tc>
        <w:tc>
          <w:tcPr>
            <w:tcW w:w="4252" w:type="dxa"/>
          </w:tcPr>
          <w:p w:rsidR="007C4E76" w:rsidRPr="00B13582" w:rsidRDefault="007C4E76" w:rsidP="00B1358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7C4E76" w:rsidRPr="00B13582" w:rsidRDefault="007C4E76" w:rsidP="00B13582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м²</w:t>
            </w:r>
          </w:p>
        </w:tc>
        <w:tc>
          <w:tcPr>
            <w:tcW w:w="1134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3000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850" w:type="dxa"/>
          </w:tcPr>
          <w:p w:rsidR="007C4E76" w:rsidRPr="00B13582" w:rsidRDefault="007C4E76" w:rsidP="00B13582">
            <w:pPr>
              <w:spacing w:line="276" w:lineRule="auto"/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spacing w:line="276" w:lineRule="auto"/>
            </w:pPr>
            <w:r w:rsidRPr="00B13582">
              <w:rPr>
                <w:rFonts w:eastAsia="Batang"/>
              </w:rPr>
              <w:t>1000</w:t>
            </w:r>
          </w:p>
        </w:tc>
      </w:tr>
      <w:tr w:rsidR="007C4E76" w:rsidRPr="00B13582" w:rsidTr="00B13582"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2.</w:t>
            </w:r>
          </w:p>
        </w:tc>
        <w:tc>
          <w:tcPr>
            <w:tcW w:w="4252" w:type="dxa"/>
          </w:tcPr>
          <w:p w:rsidR="007C4E76" w:rsidRPr="00B13582" w:rsidRDefault="007C4E76" w:rsidP="00B1358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7C4E76" w:rsidRPr="00B13582" w:rsidRDefault="007C4E76" w:rsidP="00B13582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м²</w:t>
            </w:r>
          </w:p>
        </w:tc>
        <w:tc>
          <w:tcPr>
            <w:tcW w:w="1134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67,95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spacing w:line="276" w:lineRule="auto"/>
            </w:pPr>
            <w:r w:rsidRPr="00B13582">
              <w:rPr>
                <w:rFonts w:eastAsia="Batang"/>
              </w:rPr>
              <w:t>22,65</w:t>
            </w:r>
          </w:p>
        </w:tc>
        <w:tc>
          <w:tcPr>
            <w:tcW w:w="850" w:type="dxa"/>
          </w:tcPr>
          <w:p w:rsidR="007C4E76" w:rsidRPr="00B13582" w:rsidRDefault="007C4E76" w:rsidP="00B13582">
            <w:pPr>
              <w:spacing w:line="276" w:lineRule="auto"/>
            </w:pPr>
            <w:r w:rsidRPr="00B13582">
              <w:t>22,65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spacing w:line="276" w:lineRule="auto"/>
            </w:pPr>
            <w:r w:rsidRPr="00B13582">
              <w:rPr>
                <w:rFonts w:eastAsia="Batang"/>
              </w:rPr>
              <w:t>22,65</w:t>
            </w:r>
          </w:p>
        </w:tc>
      </w:tr>
      <w:tr w:rsidR="007C4E76" w:rsidRPr="00B13582" w:rsidTr="00B13582"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3.</w:t>
            </w:r>
          </w:p>
        </w:tc>
        <w:tc>
          <w:tcPr>
            <w:tcW w:w="4252" w:type="dxa"/>
          </w:tcPr>
          <w:p w:rsidR="007C4E76" w:rsidRPr="00B13582" w:rsidRDefault="007C4E76" w:rsidP="00B1358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Реализация инициативных проектов</w:t>
            </w:r>
            <w:r w:rsidR="00B13582">
              <w:rPr>
                <w:sz w:val="24"/>
                <w:szCs w:val="24"/>
              </w:rPr>
              <w:t>,</w:t>
            </w:r>
            <w:r w:rsidRPr="00B13582">
              <w:rPr>
                <w:sz w:val="24"/>
                <w:szCs w:val="24"/>
              </w:rPr>
              <w:t xml:space="preserve"> связанных с повышением безопасности дорожного движения </w:t>
            </w:r>
          </w:p>
        </w:tc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B13582" w:rsidRDefault="00D91A81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B13582" w:rsidRDefault="00D91A81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C4E76" w:rsidRPr="00B13582" w:rsidRDefault="00D91A81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-</w:t>
            </w:r>
          </w:p>
        </w:tc>
      </w:tr>
      <w:tr w:rsidR="007C4E76" w:rsidRPr="00B13582" w:rsidTr="00B13582"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4.</w:t>
            </w:r>
          </w:p>
        </w:tc>
        <w:tc>
          <w:tcPr>
            <w:tcW w:w="4252" w:type="dxa"/>
          </w:tcPr>
          <w:p w:rsidR="007C4E76" w:rsidRPr="00B13582" w:rsidRDefault="007C4E76" w:rsidP="00B1358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B13582" w:rsidRDefault="00097478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3</w:t>
            </w:r>
          </w:p>
        </w:tc>
        <w:tc>
          <w:tcPr>
            <w:tcW w:w="851" w:type="dxa"/>
          </w:tcPr>
          <w:p w:rsidR="007C4E76" w:rsidRPr="00B13582" w:rsidRDefault="00097478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B13582" w:rsidRDefault="00097478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B13582" w:rsidRDefault="00097478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</w:tr>
      <w:tr w:rsidR="007C4E76" w:rsidRPr="00B13582" w:rsidTr="00B13582">
        <w:tc>
          <w:tcPr>
            <w:tcW w:w="567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5.</w:t>
            </w:r>
          </w:p>
        </w:tc>
        <w:tc>
          <w:tcPr>
            <w:tcW w:w="4252" w:type="dxa"/>
          </w:tcPr>
          <w:p w:rsidR="007C4E76" w:rsidRPr="00B13582" w:rsidRDefault="007C4E76" w:rsidP="00B1358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567" w:type="dxa"/>
          </w:tcPr>
          <w:p w:rsidR="007C4E76" w:rsidRPr="00B13582" w:rsidRDefault="00292C11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B13582" w:rsidRDefault="00D91A81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B13582" w:rsidRDefault="007C4E76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B13582" w:rsidRDefault="00916770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B13582" w:rsidRDefault="00916770" w:rsidP="00B13582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</w:tr>
    </w:tbl>
    <w:p w:rsidR="00D4651D" w:rsidRPr="00B13582" w:rsidRDefault="00D4651D" w:rsidP="00B135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445" w:rsidRDefault="00DE1445" w:rsidP="00B135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13582" w:rsidRPr="00B13582" w:rsidRDefault="00B13582" w:rsidP="00B135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445" w:rsidRPr="00B13582" w:rsidRDefault="00CF503E" w:rsidP="00B135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_</w:t>
      </w:r>
      <w:r w:rsidR="00D4651D" w:rsidRPr="00B13582">
        <w:rPr>
          <w:sz w:val="28"/>
          <w:szCs w:val="28"/>
        </w:rPr>
        <w:t>___________</w:t>
      </w:r>
    </w:p>
    <w:p w:rsidR="00CF503E" w:rsidRDefault="00CF503E" w:rsidP="00B13582">
      <w:pPr>
        <w:spacing w:line="276" w:lineRule="auto"/>
        <w:rPr>
          <w:sz w:val="28"/>
          <w:szCs w:val="28"/>
        </w:rPr>
      </w:pPr>
    </w:p>
    <w:p w:rsidR="00B13582" w:rsidRDefault="00B13582" w:rsidP="00B13582">
      <w:pPr>
        <w:spacing w:line="276" w:lineRule="auto"/>
        <w:rPr>
          <w:sz w:val="28"/>
          <w:szCs w:val="28"/>
        </w:rPr>
      </w:pPr>
    </w:p>
    <w:p w:rsidR="00B13582" w:rsidRDefault="00B13582" w:rsidP="00B13582">
      <w:pPr>
        <w:spacing w:line="276" w:lineRule="auto"/>
        <w:rPr>
          <w:sz w:val="28"/>
          <w:szCs w:val="28"/>
        </w:rPr>
      </w:pPr>
    </w:p>
    <w:p w:rsidR="006435F0" w:rsidRDefault="006435F0" w:rsidP="00B13582">
      <w:pPr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6435F0" w:rsidTr="006435F0">
        <w:tc>
          <w:tcPr>
            <w:tcW w:w="4217" w:type="dxa"/>
          </w:tcPr>
          <w:p w:rsidR="006435F0" w:rsidRPr="00B13582" w:rsidRDefault="006435F0" w:rsidP="00643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8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435F0" w:rsidRPr="00B13582" w:rsidRDefault="006435F0" w:rsidP="00643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82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435F0" w:rsidRDefault="006435F0" w:rsidP="006435F0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>
              <w:t>«</w:t>
            </w:r>
            <w:r w:rsidRPr="00B13582">
              <w:rPr>
                <w:rFonts w:eastAsia="Batang"/>
              </w:rPr>
              <w:t>Повышение безопасности дорожного движения на территории</w:t>
            </w:r>
            <w:r w:rsidR="0001236B">
              <w:rPr>
                <w:rFonts w:eastAsia="Batang"/>
              </w:rPr>
              <w:t xml:space="preserve"> </w:t>
            </w:r>
            <w:r w:rsidRPr="00B13582">
              <w:rPr>
                <w:rFonts w:eastAsia="Batang"/>
              </w:rPr>
              <w:t>муниципального образования «Хасынский</w:t>
            </w:r>
            <w:r w:rsidR="0001236B">
              <w:rPr>
                <w:rFonts w:eastAsia="Batang"/>
              </w:rPr>
              <w:t xml:space="preserve"> </w:t>
            </w:r>
            <w:r w:rsidRPr="00B13582">
              <w:rPr>
                <w:rFonts w:eastAsia="Batang"/>
              </w:rPr>
              <w:t>муниципальный окр</w:t>
            </w:r>
            <w:bookmarkStart w:id="0" w:name="_GoBack"/>
            <w:bookmarkEnd w:id="0"/>
            <w:r w:rsidRPr="00B13582">
              <w:rPr>
                <w:rFonts w:eastAsia="Batang"/>
              </w:rPr>
              <w:t>уг Магаданской области</w:t>
            </w:r>
            <w:r>
              <w:rPr>
                <w:rFonts w:eastAsia="Batang"/>
              </w:rPr>
              <w:t>»</w:t>
            </w:r>
          </w:p>
        </w:tc>
      </w:tr>
    </w:tbl>
    <w:p w:rsidR="000F3703" w:rsidRDefault="000F3703" w:rsidP="006435F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6435F0" w:rsidRDefault="006435F0" w:rsidP="006435F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B13582" w:rsidRDefault="00EB0948" w:rsidP="006435F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ОБЪЕМЫ ФИНАНСИРОВАНИЯ</w:t>
      </w:r>
    </w:p>
    <w:p w:rsidR="00CF503E" w:rsidRPr="00B13582" w:rsidRDefault="00152D60" w:rsidP="006435F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мероприятий </w:t>
      </w:r>
      <w:r w:rsidR="003A2EBA" w:rsidRPr="00B13582">
        <w:rPr>
          <w:rFonts w:eastAsia="Batang"/>
          <w:b/>
          <w:sz w:val="28"/>
          <w:szCs w:val="28"/>
        </w:rPr>
        <w:t xml:space="preserve">муниципальной программы «Повышение безопасности дорожного движения на территории муниципального образования </w:t>
      </w:r>
    </w:p>
    <w:p w:rsidR="00152D60" w:rsidRDefault="003A2EBA" w:rsidP="006435F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«Хасынский муниципальный округ Магаданской области»</w:t>
      </w:r>
    </w:p>
    <w:p w:rsidR="0001236B" w:rsidRPr="00B13582" w:rsidRDefault="0001236B" w:rsidP="006435F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9F5F9E" w:rsidRPr="006435F0" w:rsidRDefault="009F5F9E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tbl>
      <w:tblPr>
        <w:tblW w:w="947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2552"/>
        <w:gridCol w:w="2126"/>
        <w:gridCol w:w="1166"/>
        <w:gridCol w:w="969"/>
        <w:gridCol w:w="983"/>
        <w:gridCol w:w="957"/>
      </w:tblGrid>
      <w:tr w:rsidR="00412BAE" w:rsidRPr="00B13582" w:rsidTr="006435F0">
        <w:trPr>
          <w:trHeight w:val="85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435F0">
              <w:rPr>
                <w:rFonts w:eastAsia="Times New Roman"/>
                <w:b/>
                <w:bCs/>
                <w:color w:val="000000"/>
              </w:rPr>
              <w:t>Финан</w:t>
            </w:r>
            <w:proofErr w:type="spellEnd"/>
            <w:r w:rsidR="006435F0">
              <w:rPr>
                <w:rFonts w:eastAsia="Times New Roman"/>
                <w:b/>
                <w:bCs/>
                <w:color w:val="000000"/>
              </w:rPr>
              <w:t>-</w:t>
            </w:r>
            <w:r w:rsidRPr="006435F0">
              <w:rPr>
                <w:rFonts w:eastAsia="Times New Roman"/>
                <w:b/>
                <w:bCs/>
                <w:color w:val="000000"/>
              </w:rPr>
              <w:t>си</w:t>
            </w:r>
            <w:r w:rsidR="006435F0">
              <w:rPr>
                <w:rFonts w:eastAsia="Times New Roman"/>
                <w:b/>
                <w:bCs/>
                <w:color w:val="000000"/>
              </w:rPr>
              <w:t>-</w:t>
            </w:r>
            <w:proofErr w:type="spellStart"/>
            <w:r w:rsidRPr="006435F0">
              <w:rPr>
                <w:rFonts w:eastAsia="Times New Roman"/>
                <w:b/>
                <w:bCs/>
                <w:color w:val="000000"/>
              </w:rPr>
              <w:t>рование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201631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  <w:r w:rsidR="00412BAE" w:rsidRPr="006435F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12BAE" w:rsidRPr="00B13582" w:rsidTr="006435F0">
        <w:trPr>
          <w:trHeight w:val="63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AE" w:rsidRPr="006435F0" w:rsidRDefault="00412BAE" w:rsidP="00B1358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AE" w:rsidRPr="006435F0" w:rsidRDefault="00412BAE" w:rsidP="00B1358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2BAE" w:rsidRPr="006435F0" w:rsidRDefault="00412BAE" w:rsidP="00B1358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B135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</w:tr>
      <w:tr w:rsidR="00412BAE" w:rsidRPr="00B13582" w:rsidTr="006435F0">
        <w:trPr>
          <w:trHeight w:val="281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412BAE" w:rsidRPr="00B13582" w:rsidTr="006435F0">
        <w:trPr>
          <w:trHeight w:val="18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BAE" w:rsidRPr="006F5C69" w:rsidRDefault="00412BAE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AE" w:rsidRPr="006435F0" w:rsidRDefault="00412BAE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</w:tr>
      <w:tr w:rsidR="00201631" w:rsidRPr="00B13582" w:rsidTr="006F5C69">
        <w:trPr>
          <w:trHeight w:val="10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631" w:rsidRPr="006F5C69" w:rsidRDefault="00201631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6869,0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925,0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2972,0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2972,0</w:t>
            </w:r>
          </w:p>
        </w:tc>
      </w:tr>
      <w:tr w:rsidR="00201631" w:rsidRPr="00B13582" w:rsidTr="006F5C69">
        <w:trPr>
          <w:trHeight w:val="11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631" w:rsidRPr="006F5C69" w:rsidRDefault="00201631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 xml:space="preserve">Муниципальное казенное учреждение «Управление по обеспечению деятельности </w:t>
            </w:r>
            <w:r w:rsidRPr="006435F0">
              <w:lastRenderedPageBreak/>
              <w:t>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F26784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lastRenderedPageBreak/>
              <w:t>84</w:t>
            </w:r>
            <w:r w:rsidR="00F26784">
              <w:rPr>
                <w:rFonts w:eastAsia="Times New Roman"/>
              </w:rPr>
              <w:t>17</w:t>
            </w:r>
            <w:r w:rsidRPr="006435F0">
              <w:rPr>
                <w:rFonts w:eastAsia="Times New Roman"/>
              </w:rPr>
              <w:t>,</w:t>
            </w:r>
            <w:r w:rsidR="00F26784">
              <w:rPr>
                <w:rFonts w:eastAsia="Times New Roman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01236B" w:rsidP="0001236B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5953,1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1144,0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1320,0</w:t>
            </w:r>
          </w:p>
        </w:tc>
      </w:tr>
      <w:tr w:rsidR="00201631" w:rsidRPr="00B13582" w:rsidTr="006435F0">
        <w:trPr>
          <w:trHeight w:val="6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631" w:rsidRPr="006F5C69" w:rsidRDefault="00201631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  <w:r w:rsidR="006F5C69">
              <w:rPr>
                <w:rFonts w:eastAsia="Times New Roman"/>
                <w:bCs/>
                <w:color w:val="000000"/>
              </w:rPr>
              <w:t>,</w:t>
            </w:r>
            <w:r w:rsidRPr="006435F0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rPr>
                <w:rFonts w:eastAsia="Times New Roman"/>
                <w:color w:val="000000"/>
              </w:rPr>
              <w:t>0,0</w:t>
            </w:r>
          </w:p>
        </w:tc>
      </w:tr>
      <w:tr w:rsidR="00201631" w:rsidRPr="00B13582" w:rsidTr="006F5C69">
        <w:trPr>
          <w:trHeight w:val="1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631" w:rsidRPr="006F5C69" w:rsidRDefault="00201631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916770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300,0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100,0</w:t>
            </w:r>
          </w:p>
        </w:tc>
      </w:tr>
      <w:tr w:rsidR="00201631" w:rsidRPr="00B13582" w:rsidTr="006F5C69">
        <w:trPr>
          <w:trHeight w:val="12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631" w:rsidRPr="006F5C69" w:rsidRDefault="00201631" w:rsidP="006F5C69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6F5C69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6435F0">
              <w:t xml:space="preserve">Комитет жизнеобеспечения территории Администрации Хасынского муниципального округа Магаданской области, Муниципальное казенное учреждение «Управление по обеспечению деятельности органов местного </w:t>
            </w:r>
            <w:r w:rsidRPr="006435F0">
              <w:lastRenderedPageBreak/>
              <w:t>самоуправления Хасынского муниципального округа Магаданской области»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lastRenderedPageBreak/>
              <w:t>60,0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20,0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</w:rPr>
            </w:pPr>
            <w:r w:rsidRPr="006435F0">
              <w:rPr>
                <w:rFonts w:eastAsia="Times New Roman"/>
              </w:rPr>
              <w:t>20,0</w:t>
            </w:r>
          </w:p>
        </w:tc>
      </w:tr>
      <w:tr w:rsidR="00201631" w:rsidRPr="00B13582" w:rsidTr="006435F0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435F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6435F0">
              <w:rPr>
                <w:rFonts w:eastAsia="Times New Roman"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6435F0" w:rsidP="0001236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176</w:t>
            </w:r>
            <w:r w:rsidR="0001236B">
              <w:rPr>
                <w:rFonts w:eastAsia="Times New Roman"/>
                <w:b/>
                <w:bCs/>
              </w:rPr>
              <w:t>94</w:t>
            </w:r>
            <w:r>
              <w:rPr>
                <w:rFonts w:eastAsia="Times New Roman"/>
                <w:b/>
                <w:bCs/>
              </w:rPr>
              <w:t>,</w:t>
            </w:r>
            <w:r w:rsidR="0001236B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6435F0" w:rsidP="0001236B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</w:t>
            </w:r>
            <w:r w:rsidR="0001236B">
              <w:rPr>
                <w:rFonts w:eastAsia="Times New Roman"/>
                <w:b/>
                <w:bCs/>
              </w:rPr>
              <w:t>46</w:t>
            </w:r>
            <w:r>
              <w:rPr>
                <w:rFonts w:eastAsia="Times New Roman"/>
                <w:b/>
                <w:bCs/>
              </w:rPr>
              <w:t>,</w:t>
            </w:r>
            <w:r w:rsidR="0001236B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6435F0">
              <w:rPr>
                <w:rFonts w:eastAsia="Times New Roman"/>
                <w:b/>
                <w:bCs/>
              </w:rPr>
              <w:t>4236,0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631" w:rsidRPr="006435F0" w:rsidRDefault="00201631" w:rsidP="006435F0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6435F0">
              <w:rPr>
                <w:rFonts w:eastAsia="Times New Roman"/>
                <w:b/>
                <w:bCs/>
              </w:rPr>
              <w:t>4412,0</w:t>
            </w:r>
          </w:p>
        </w:tc>
      </w:tr>
    </w:tbl>
    <w:p w:rsidR="009F5F9E" w:rsidRPr="006435F0" w:rsidRDefault="009F5F9E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F5F9E" w:rsidRDefault="009F5F9E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6435F0" w:rsidRPr="006435F0" w:rsidRDefault="006435F0" w:rsidP="00B13582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B13582" w:rsidRDefault="00152D60" w:rsidP="00B13582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B13582">
        <w:rPr>
          <w:sz w:val="26"/>
          <w:szCs w:val="26"/>
        </w:rPr>
        <w:t>____________</w:t>
      </w:r>
    </w:p>
    <w:sectPr w:rsidR="00152D60" w:rsidRPr="00B13582" w:rsidSect="00B13582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B8" w:rsidRDefault="009D2AB8">
      <w:r>
        <w:separator/>
      </w:r>
    </w:p>
  </w:endnote>
  <w:endnote w:type="continuationSeparator" w:id="0">
    <w:p w:rsidR="009D2AB8" w:rsidRDefault="009D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B8" w:rsidRDefault="009D2AB8">
      <w:r>
        <w:separator/>
      </w:r>
    </w:p>
  </w:footnote>
  <w:footnote w:type="continuationSeparator" w:id="0">
    <w:p w:rsidR="009D2AB8" w:rsidRDefault="009D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B" w:rsidRDefault="0001236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26784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49EB"/>
    <w:multiLevelType w:val="hybridMultilevel"/>
    <w:tmpl w:val="C9D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236B"/>
    <w:rsid w:val="000241C8"/>
    <w:rsid w:val="000315AB"/>
    <w:rsid w:val="0003595D"/>
    <w:rsid w:val="00097478"/>
    <w:rsid w:val="000B49E4"/>
    <w:rsid w:val="000D55B1"/>
    <w:rsid w:val="000F3703"/>
    <w:rsid w:val="00107215"/>
    <w:rsid w:val="00125B6E"/>
    <w:rsid w:val="00152D60"/>
    <w:rsid w:val="00155277"/>
    <w:rsid w:val="001629B5"/>
    <w:rsid w:val="001815E6"/>
    <w:rsid w:val="001A4BD3"/>
    <w:rsid w:val="001A7D6D"/>
    <w:rsid w:val="00201631"/>
    <w:rsid w:val="0021661F"/>
    <w:rsid w:val="00225629"/>
    <w:rsid w:val="00244A7F"/>
    <w:rsid w:val="00245003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3054C"/>
    <w:rsid w:val="0039260A"/>
    <w:rsid w:val="003A2EBA"/>
    <w:rsid w:val="00412BAE"/>
    <w:rsid w:val="004739E1"/>
    <w:rsid w:val="004856D5"/>
    <w:rsid w:val="00550A68"/>
    <w:rsid w:val="005764A1"/>
    <w:rsid w:val="00576701"/>
    <w:rsid w:val="0059452F"/>
    <w:rsid w:val="005B7D08"/>
    <w:rsid w:val="006435F0"/>
    <w:rsid w:val="006550FD"/>
    <w:rsid w:val="0066691C"/>
    <w:rsid w:val="00685CCD"/>
    <w:rsid w:val="006954F0"/>
    <w:rsid w:val="006F5C69"/>
    <w:rsid w:val="007134D8"/>
    <w:rsid w:val="00726C77"/>
    <w:rsid w:val="007512BF"/>
    <w:rsid w:val="00781BB1"/>
    <w:rsid w:val="007A6EA7"/>
    <w:rsid w:val="007B0591"/>
    <w:rsid w:val="007C4E76"/>
    <w:rsid w:val="007E096D"/>
    <w:rsid w:val="008642D9"/>
    <w:rsid w:val="0087467D"/>
    <w:rsid w:val="00893703"/>
    <w:rsid w:val="008A7D57"/>
    <w:rsid w:val="00916770"/>
    <w:rsid w:val="00921081"/>
    <w:rsid w:val="00942BF4"/>
    <w:rsid w:val="009A7C6C"/>
    <w:rsid w:val="009D2AB8"/>
    <w:rsid w:val="009F5F9E"/>
    <w:rsid w:val="00A1420F"/>
    <w:rsid w:val="00A156D6"/>
    <w:rsid w:val="00A5197A"/>
    <w:rsid w:val="00B13582"/>
    <w:rsid w:val="00B82B7F"/>
    <w:rsid w:val="00BA0D24"/>
    <w:rsid w:val="00C141CB"/>
    <w:rsid w:val="00C22053"/>
    <w:rsid w:val="00C3780B"/>
    <w:rsid w:val="00C56D0D"/>
    <w:rsid w:val="00C5758E"/>
    <w:rsid w:val="00C91D73"/>
    <w:rsid w:val="00C9420E"/>
    <w:rsid w:val="00CD516C"/>
    <w:rsid w:val="00CF503E"/>
    <w:rsid w:val="00D44DF3"/>
    <w:rsid w:val="00D4651D"/>
    <w:rsid w:val="00D733CD"/>
    <w:rsid w:val="00D778D2"/>
    <w:rsid w:val="00D91A81"/>
    <w:rsid w:val="00DE1445"/>
    <w:rsid w:val="00E05B9F"/>
    <w:rsid w:val="00E1201F"/>
    <w:rsid w:val="00EB0948"/>
    <w:rsid w:val="00ED04AD"/>
    <w:rsid w:val="00F26784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A132E-91E2-4273-848E-08870FA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46</cp:revision>
  <cp:lastPrinted>2023-02-13T04:37:00Z</cp:lastPrinted>
  <dcterms:created xsi:type="dcterms:W3CDTF">2018-10-02T00:49:00Z</dcterms:created>
  <dcterms:modified xsi:type="dcterms:W3CDTF">2023-02-13T04:37:00Z</dcterms:modified>
</cp:coreProperties>
</file>