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242259" w:rsidTr="00242259">
        <w:tc>
          <w:tcPr>
            <w:tcW w:w="4529" w:type="dxa"/>
          </w:tcPr>
          <w:p w:rsidR="00242259" w:rsidRP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42259">
              <w:rPr>
                <w:sz w:val="28"/>
                <w:szCs w:val="28"/>
              </w:rPr>
              <w:t>Приложение № 11</w:t>
            </w:r>
          </w:p>
          <w:p w:rsidR="00242259" w:rsidRP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42259" w:rsidRP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42259">
              <w:rPr>
                <w:sz w:val="28"/>
                <w:szCs w:val="28"/>
              </w:rPr>
              <w:t>к постановлению Администрации</w:t>
            </w:r>
          </w:p>
          <w:p w:rsidR="00242259" w:rsidRP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42259">
              <w:rPr>
                <w:sz w:val="28"/>
                <w:szCs w:val="28"/>
              </w:rPr>
              <w:t xml:space="preserve">Хасынского муниципального </w:t>
            </w:r>
          </w:p>
          <w:p w:rsidR="00242259" w:rsidRP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42259">
              <w:rPr>
                <w:sz w:val="28"/>
                <w:szCs w:val="28"/>
              </w:rPr>
              <w:t>о</w:t>
            </w:r>
            <w:r w:rsidRPr="00242259">
              <w:rPr>
                <w:sz w:val="28"/>
                <w:szCs w:val="28"/>
              </w:rPr>
              <w:t>круга</w:t>
            </w:r>
            <w:r w:rsidRPr="00242259">
              <w:rPr>
                <w:sz w:val="28"/>
                <w:szCs w:val="28"/>
              </w:rPr>
              <w:t xml:space="preserve"> </w:t>
            </w:r>
            <w:r w:rsidRPr="00242259">
              <w:rPr>
                <w:sz w:val="28"/>
                <w:szCs w:val="28"/>
              </w:rPr>
              <w:t>Магаданской области</w:t>
            </w:r>
          </w:p>
          <w:p w:rsidR="00242259" w:rsidRPr="00242259" w:rsidRDefault="00242259" w:rsidP="00242259">
            <w:pPr>
              <w:jc w:val="center"/>
              <w:rPr>
                <w:b/>
                <w:sz w:val="28"/>
                <w:szCs w:val="28"/>
              </w:rPr>
            </w:pPr>
            <w:r w:rsidRPr="00242259">
              <w:rPr>
                <w:sz w:val="28"/>
                <w:szCs w:val="28"/>
              </w:rPr>
              <w:t>от __________</w:t>
            </w:r>
            <w:r w:rsidRPr="00242259">
              <w:rPr>
                <w:sz w:val="28"/>
                <w:szCs w:val="28"/>
              </w:rPr>
              <w:t>___ № _____</w:t>
            </w:r>
          </w:p>
          <w:p w:rsidR="00242259" w:rsidRDefault="00242259" w:rsidP="002422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2259" w:rsidRDefault="00242259" w:rsidP="00242259">
      <w:pPr>
        <w:tabs>
          <w:tab w:val="left" w:pos="0"/>
        </w:tabs>
        <w:jc w:val="center"/>
        <w:rPr>
          <w:sz w:val="28"/>
          <w:szCs w:val="28"/>
        </w:rPr>
      </w:pPr>
    </w:p>
    <w:p w:rsidR="00242259" w:rsidRDefault="00242259" w:rsidP="00242259">
      <w:pPr>
        <w:tabs>
          <w:tab w:val="left" w:pos="0"/>
        </w:tabs>
        <w:jc w:val="center"/>
        <w:rPr>
          <w:sz w:val="28"/>
          <w:szCs w:val="28"/>
        </w:rPr>
      </w:pPr>
    </w:p>
    <w:p w:rsidR="00242259" w:rsidRPr="00242259" w:rsidRDefault="00242259" w:rsidP="00242259">
      <w:pPr>
        <w:tabs>
          <w:tab w:val="left" w:pos="0"/>
        </w:tabs>
        <w:jc w:val="center"/>
        <w:rPr>
          <w:sz w:val="28"/>
          <w:szCs w:val="28"/>
        </w:rPr>
      </w:pPr>
    </w:p>
    <w:p w:rsidR="00401619" w:rsidRPr="00242259" w:rsidRDefault="00401619" w:rsidP="00242259">
      <w:pPr>
        <w:jc w:val="center"/>
        <w:rPr>
          <w:b/>
          <w:sz w:val="28"/>
          <w:szCs w:val="28"/>
        </w:rPr>
      </w:pPr>
      <w:r w:rsidRPr="00242259">
        <w:rPr>
          <w:b/>
          <w:sz w:val="28"/>
          <w:szCs w:val="28"/>
        </w:rPr>
        <w:t>ПАСПОРТ</w:t>
      </w:r>
    </w:p>
    <w:p w:rsidR="00242259" w:rsidRDefault="00401619" w:rsidP="00242259">
      <w:pPr>
        <w:jc w:val="center"/>
        <w:rPr>
          <w:b/>
          <w:sz w:val="28"/>
          <w:szCs w:val="28"/>
        </w:rPr>
      </w:pPr>
      <w:r w:rsidRPr="00242259">
        <w:rPr>
          <w:b/>
          <w:sz w:val="28"/>
          <w:szCs w:val="28"/>
        </w:rPr>
        <w:t xml:space="preserve">подпрограммы «Обеспечение безопасности образовательных учреждений Хасынского муниципального округа </w:t>
      </w:r>
    </w:p>
    <w:p w:rsidR="00401619" w:rsidRPr="00242259" w:rsidRDefault="00401619" w:rsidP="00242259">
      <w:pPr>
        <w:jc w:val="center"/>
        <w:rPr>
          <w:b/>
          <w:sz w:val="28"/>
          <w:szCs w:val="28"/>
        </w:rPr>
      </w:pPr>
      <w:r w:rsidRPr="00242259">
        <w:rPr>
          <w:b/>
          <w:sz w:val="28"/>
          <w:szCs w:val="28"/>
        </w:rPr>
        <w:t xml:space="preserve">Магаданской области» </w:t>
      </w:r>
    </w:p>
    <w:p w:rsidR="00401619" w:rsidRPr="00242259" w:rsidRDefault="00401619" w:rsidP="00242259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634"/>
      </w:tblGrid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Наименование </w:t>
            </w:r>
            <w:r w:rsidR="00242259">
              <w:t>П</w:t>
            </w:r>
            <w:r w:rsidRPr="00242259">
              <w:t>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  <w:rPr>
                <w:b/>
              </w:rPr>
            </w:pPr>
            <w:r w:rsidRPr="00242259">
              <w:t>Подпрограмма «Обеспечение безопасности образовательных учреждений Хасынского муниципального округа Магаданской области» (далее</w:t>
            </w:r>
            <w:r w:rsidR="00242259">
              <w:t xml:space="preserve"> </w:t>
            </w:r>
            <w:r w:rsidRPr="00242259">
              <w:t>-</w:t>
            </w:r>
            <w:r w:rsidR="00242259">
              <w:t xml:space="preserve"> П</w:t>
            </w:r>
            <w:r w:rsidRPr="00242259">
              <w:t>одпрограмма)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242259" w:rsidP="00242259">
            <w:pPr>
              <w:spacing w:line="276" w:lineRule="auto"/>
              <w:jc w:val="both"/>
            </w:pPr>
            <w:r>
              <w:t>Основание для разработки П</w:t>
            </w:r>
            <w:r w:rsidR="00401619" w:rsidRPr="00242259">
              <w:t>одпрограммы</w:t>
            </w:r>
          </w:p>
        </w:tc>
        <w:tc>
          <w:tcPr>
            <w:tcW w:w="6634" w:type="dxa"/>
          </w:tcPr>
          <w:p w:rsidR="00242259" w:rsidRDefault="00401619" w:rsidP="00242259">
            <w:pPr>
              <w:spacing w:line="276" w:lineRule="auto"/>
              <w:jc w:val="both"/>
            </w:pPr>
            <w:r w:rsidRPr="00242259">
              <w:t>Федеральны</w:t>
            </w:r>
            <w:r w:rsidR="00242259">
              <w:t>е</w:t>
            </w:r>
            <w:r w:rsidRPr="00242259">
              <w:t xml:space="preserve"> </w:t>
            </w:r>
            <w:r w:rsidR="00242259">
              <w:t>з</w:t>
            </w:r>
            <w:r w:rsidRPr="00242259">
              <w:t>акон</w:t>
            </w:r>
            <w:r w:rsidR="00242259">
              <w:t>ы: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от 30</w:t>
            </w:r>
            <w:r w:rsidR="00242259">
              <w:t>.03.</w:t>
            </w:r>
            <w:r w:rsidRPr="00242259">
              <w:t>1999 № 52-ФЗ «О санитарно-эпидемиологическом благополучии населения»;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от 22</w:t>
            </w:r>
            <w:r w:rsidR="00242259">
              <w:t>.07.</w:t>
            </w:r>
            <w:r w:rsidRPr="00242259">
              <w:t>2008 № 123-ФЗ «Технический регламент о треб</w:t>
            </w:r>
            <w:r w:rsidR="00242259">
              <w:t>ованиях пожарной безопасности»;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Постановление Правительства </w:t>
            </w:r>
            <w:r w:rsidR="00242259">
              <w:t>Российской Федерации</w:t>
            </w:r>
            <w:r w:rsidRPr="00242259">
              <w:t xml:space="preserve"> от 16</w:t>
            </w:r>
            <w:r w:rsidR="00242259">
              <w:t>.09.</w:t>
            </w:r>
            <w:r w:rsidRPr="00242259">
              <w:t>2020 № 1479 «Об утверждении правил противопожарного режима в Российской Федерации»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Заказчик </w:t>
            </w:r>
            <w:r w:rsidR="00242259">
              <w:t>П</w:t>
            </w:r>
            <w:r w:rsidRPr="00242259">
              <w:t>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Администрация Хасынского муниципального округа Магаданской области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Разработчик </w:t>
            </w:r>
            <w:r w:rsidR="00242259">
              <w:t>П</w:t>
            </w:r>
            <w:r w:rsidRPr="00242259">
              <w:t>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Комитет образования, культуры и молодежной политики </w:t>
            </w:r>
            <w:r w:rsidR="00242259">
              <w:t>А</w:t>
            </w:r>
            <w:r w:rsidRPr="00242259">
              <w:t>дминистрации Хасынского муниципального округа Магаданской области (далее – Комитет образования, культуры и молодежной политики)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242259" w:rsidP="00242259">
            <w:pPr>
              <w:spacing w:line="276" w:lineRule="auto"/>
              <w:jc w:val="both"/>
            </w:pPr>
            <w:r>
              <w:t>Исполнители П</w:t>
            </w:r>
            <w:r w:rsidR="00401619" w:rsidRPr="00242259">
              <w:t>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Комитет образования, культуры и молодежной политики, образовательные учреждения муниципального образования «Хасынский муниципальный округ Магаданской области» (далее – образовательные учреждения)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Цели и</w:t>
            </w:r>
            <w:r w:rsidR="00242259">
              <w:t xml:space="preserve"> задачи П</w:t>
            </w:r>
            <w:r w:rsidRPr="00242259">
              <w:t>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Подпрограмма создана с целью создания условий, необходимых для предотвращения пожаров и чрезвычайных ситуаций, обеспечения санитарно-эпидемиологического благополучия на объектах образования Хасынского муниципального округа, повышения уровня противопожарной, антитеррористической защиты зданий и сооружений, недопущения травматизма и гибели обучающихся воспитанников сотрудн</w:t>
            </w:r>
            <w:r w:rsidR="00242259">
              <w:t>иков образовательных учреждений</w:t>
            </w:r>
          </w:p>
          <w:p w:rsidR="00401619" w:rsidRPr="00242259" w:rsidRDefault="00401619" w:rsidP="00242259">
            <w:pPr>
              <w:spacing w:line="276" w:lineRule="auto"/>
              <w:jc w:val="both"/>
              <w:rPr>
                <w:b/>
                <w:bCs/>
              </w:rPr>
            </w:pPr>
            <w:r w:rsidRPr="00242259">
              <w:rPr>
                <w:b/>
                <w:bCs/>
              </w:rPr>
              <w:lastRenderedPageBreak/>
              <w:t>Основные задачи: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Создание единой системы безопасного функционирования учреждений образования Хасынского муниципального округа, основами которой являются: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координация деятельности и консолидация усилий органов местного самоуправления, учреждений и организаций, правоохранительных и надзорных органов, иных общественных объединений по повышению безопасности жизнедеятельности образовательных учреждений всех типов и видов;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укрепление и развитие материально-технической базы образовательных учреждений в соответствии с нормативной потребностью;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реализация требований законодательных и иных нормативных правовых актов в области обеспечения безопасности образовательных учреждений, направленных на защиту здоровья и сохранения жизни обучающихся, воспитанников и работников сферы образования во время их трудовой и учебной деятельности от возможных, пожаров, аварий, террористич</w:t>
            </w:r>
            <w:r w:rsidR="00242259">
              <w:t>еских актов и других опасностей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lastRenderedPageBreak/>
              <w:t>Объем и источники финансирования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Финансирование подпрограммы осуществляется за счет средств бюджета муниципального образования «Хасынский муниципальный округ Магаданской области», областного бюджета. 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Общий объем средств, направляемых на реализацию мероприятий подпрограммы- </w:t>
            </w:r>
            <w:r w:rsidRPr="00242259">
              <w:rPr>
                <w:b/>
              </w:rPr>
              <w:t xml:space="preserve"> 36 810,6 </w:t>
            </w:r>
            <w:r w:rsidRPr="00242259">
              <w:t>тыс. руб., в том числе: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местный бюджет –31 416,9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-областной бюджет – 5 393,7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В том числе по годам: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2020 год – 4 696,0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2021 год – 9 711,2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2022 год – 8 392,1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2023 год – 11 805,6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2024 год – 2 111,5 тыс. руб.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2025 год – 94,2 тыс. руб.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Сроки реализации подпрограммы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2020-2025 годы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Ожидаемый конечный результат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Реализация подпрограммы позволит создать условия для: 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снижения рисков возникновения пожаров, аварийных ситуаций, травматизма и гибели воспитанников, учащихся и сотрудников образовательных учреждений;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повышения санитарно-эпидемиологического благополучия учреждений образования;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- укрепления антитеррористической безопасности; 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lastRenderedPageBreak/>
              <w:t>- создания необходимой материально-технической базы для безопасного функционирования образовательных учреждений;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оптимизации расходов на создание систем безопасности;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усиление взаимодействия уполномоченных органов и организаций по вопросам усиления безопасности образовательных учреждений;</w:t>
            </w:r>
          </w:p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>- повышение уровня знаний, обучающихся (</w:t>
            </w:r>
            <w:proofErr w:type="gramStart"/>
            <w:r w:rsidRPr="00242259">
              <w:t xml:space="preserve">воспитанников) </w:t>
            </w:r>
            <w:r w:rsidR="00242259">
              <w:t xml:space="preserve">  </w:t>
            </w:r>
            <w:proofErr w:type="gramEnd"/>
            <w:r w:rsidR="00242259">
              <w:t xml:space="preserve">            </w:t>
            </w:r>
            <w:r w:rsidRPr="00242259">
              <w:t xml:space="preserve">и работников муниципальных образовательных учреждений </w:t>
            </w:r>
            <w:r w:rsidR="00242259">
              <w:t xml:space="preserve">            </w:t>
            </w:r>
            <w:r w:rsidRPr="00242259">
              <w:t>о мерах безопасности и действиях на случай</w:t>
            </w:r>
            <w:r w:rsidR="00242259">
              <w:t xml:space="preserve"> возникновения опасных ситуаций</w:t>
            </w:r>
          </w:p>
        </w:tc>
      </w:tr>
      <w:tr w:rsidR="00401619" w:rsidRPr="00242259" w:rsidTr="00242259">
        <w:tc>
          <w:tcPr>
            <w:tcW w:w="3148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34" w:type="dxa"/>
          </w:tcPr>
          <w:p w:rsidR="00401619" w:rsidRPr="00242259" w:rsidRDefault="00401619" w:rsidP="00242259">
            <w:pPr>
              <w:spacing w:line="276" w:lineRule="auto"/>
              <w:jc w:val="both"/>
            </w:pPr>
            <w:r w:rsidRPr="00242259">
              <w:t xml:space="preserve">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</w:t>
            </w:r>
            <w:bookmarkStart w:id="0" w:name="_GoBack"/>
            <w:bookmarkEnd w:id="0"/>
            <w:r w:rsidRPr="00242259">
              <w:t>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      </w:r>
          </w:p>
        </w:tc>
      </w:tr>
    </w:tbl>
    <w:p w:rsidR="000253D5" w:rsidRDefault="000253D5" w:rsidP="00242259">
      <w:pPr>
        <w:jc w:val="center"/>
        <w:rPr>
          <w:sz w:val="28"/>
          <w:szCs w:val="28"/>
        </w:rPr>
      </w:pPr>
    </w:p>
    <w:p w:rsidR="00242259" w:rsidRDefault="00242259" w:rsidP="00242259">
      <w:pPr>
        <w:jc w:val="center"/>
        <w:rPr>
          <w:sz w:val="28"/>
          <w:szCs w:val="28"/>
        </w:rPr>
      </w:pPr>
    </w:p>
    <w:p w:rsidR="00242259" w:rsidRDefault="00242259" w:rsidP="00242259">
      <w:pPr>
        <w:jc w:val="center"/>
        <w:rPr>
          <w:sz w:val="28"/>
          <w:szCs w:val="28"/>
        </w:rPr>
      </w:pPr>
    </w:p>
    <w:p w:rsidR="00242259" w:rsidRPr="00242259" w:rsidRDefault="00242259" w:rsidP="002422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242259" w:rsidRPr="00242259" w:rsidSect="0024225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3B" w:rsidRDefault="00A9083B" w:rsidP="00242259">
      <w:r>
        <w:separator/>
      </w:r>
    </w:p>
  </w:endnote>
  <w:endnote w:type="continuationSeparator" w:id="0">
    <w:p w:rsidR="00A9083B" w:rsidRDefault="00A9083B" w:rsidP="002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3B" w:rsidRDefault="00A9083B" w:rsidP="00242259">
      <w:r>
        <w:separator/>
      </w:r>
    </w:p>
  </w:footnote>
  <w:footnote w:type="continuationSeparator" w:id="0">
    <w:p w:rsidR="00A9083B" w:rsidRDefault="00A9083B" w:rsidP="0024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371822"/>
      <w:docPartObj>
        <w:docPartGallery w:val="Page Numbers (Top of Page)"/>
        <w:docPartUnique/>
      </w:docPartObj>
    </w:sdtPr>
    <w:sdtContent>
      <w:p w:rsidR="00242259" w:rsidRDefault="002422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D"/>
    <w:rsid w:val="000253D5"/>
    <w:rsid w:val="00242259"/>
    <w:rsid w:val="00401619"/>
    <w:rsid w:val="00A77BAD"/>
    <w:rsid w:val="00A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8F95-6353-4059-B7D2-18680B88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2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2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4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22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2023-02-28T23:27:00Z</cp:lastPrinted>
  <dcterms:created xsi:type="dcterms:W3CDTF">2023-02-27T23:57:00Z</dcterms:created>
  <dcterms:modified xsi:type="dcterms:W3CDTF">2023-02-28T23:27:00Z</dcterms:modified>
</cp:coreProperties>
</file>